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7F" w:rsidRPr="005A2D7F" w:rsidRDefault="005A2D7F" w:rsidP="005A2D7F">
      <w:pPr>
        <w:spacing w:after="0" w:line="240" w:lineRule="auto"/>
        <w:jc w:val="center"/>
        <w:rPr>
          <w:rFonts w:ascii="Book Antiqua" w:hAnsi="Book Antiqua" w:cs="Times New Roman"/>
          <w:b/>
          <w:sz w:val="24"/>
          <w:szCs w:val="24"/>
        </w:rPr>
      </w:pPr>
      <w:r w:rsidRPr="005A2D7F">
        <w:rPr>
          <w:rFonts w:ascii="Book Antiqua" w:hAnsi="Book Antiqua" w:cs="Times New Roman"/>
          <w:b/>
          <w:sz w:val="24"/>
          <w:szCs w:val="24"/>
        </w:rPr>
        <w:t>Sanksi Tindakan Kebiri Kimia Kepada Pelaku Kekerasan Seksual Terhadap Anak Ditinjau dari Hak Asasi Manusia dan Tujuan Pemidanaan</w:t>
      </w:r>
    </w:p>
    <w:p w:rsidR="005A2D7F" w:rsidRPr="005A2D7F" w:rsidRDefault="005A2D7F" w:rsidP="005A2D7F">
      <w:pPr>
        <w:spacing w:after="0" w:line="240" w:lineRule="auto"/>
        <w:jc w:val="center"/>
        <w:rPr>
          <w:rFonts w:ascii="Book Antiqua" w:hAnsi="Book Antiqua" w:cs="Times New Roman"/>
          <w:b/>
          <w:sz w:val="24"/>
          <w:szCs w:val="24"/>
        </w:rPr>
      </w:pPr>
    </w:p>
    <w:p w:rsidR="005A2D7F" w:rsidRDefault="005A2D7F" w:rsidP="005A2D7F">
      <w:pPr>
        <w:spacing w:after="0" w:line="240" w:lineRule="auto"/>
        <w:jc w:val="center"/>
        <w:rPr>
          <w:rFonts w:ascii="Book Antiqua" w:hAnsi="Book Antiqua" w:cs="Times New Roman"/>
          <w:b/>
        </w:rPr>
      </w:pPr>
    </w:p>
    <w:p w:rsidR="005A2D7F" w:rsidRDefault="005A2D7F" w:rsidP="005A2D7F">
      <w:pPr>
        <w:spacing w:after="0" w:line="240" w:lineRule="auto"/>
        <w:jc w:val="center"/>
        <w:rPr>
          <w:rFonts w:ascii="Book Antiqua" w:hAnsi="Book Antiqua" w:cs="Times New Roman"/>
          <w:b/>
        </w:rPr>
      </w:pPr>
      <w:r>
        <w:rPr>
          <w:rFonts w:ascii="Book Antiqua" w:hAnsi="Book Antiqua" w:cs="Times New Roman"/>
          <w:b/>
        </w:rPr>
        <w:t>Reine Rofiana</w:t>
      </w:r>
      <w:r w:rsidR="0016540E">
        <w:rPr>
          <w:rFonts w:ascii="Book Antiqua" w:hAnsi="Book Antiqua" w:cs="Times New Roman"/>
          <w:b/>
        </w:rPr>
        <w:t>, SH.,MH</w:t>
      </w:r>
    </w:p>
    <w:p w:rsidR="005A2D7F" w:rsidRPr="005A2D7F" w:rsidRDefault="005A2D7F" w:rsidP="005A2D7F">
      <w:pPr>
        <w:spacing w:after="0" w:line="240" w:lineRule="auto"/>
        <w:jc w:val="center"/>
        <w:rPr>
          <w:rFonts w:ascii="Book Antiqua" w:hAnsi="Book Antiqua" w:cs="Times New Roman"/>
        </w:rPr>
      </w:pPr>
      <w:r w:rsidRPr="005A2D7F">
        <w:rPr>
          <w:rFonts w:ascii="Book Antiqua" w:hAnsi="Book Antiqua" w:cs="Times New Roman"/>
        </w:rPr>
        <w:t>Fakultas Hukum Universitas Sultan Ageng Tirtayasa Jl.Raya Jakarta Km 4 Pakupatan, email: Reine</w:t>
      </w:r>
      <w:r>
        <w:rPr>
          <w:rFonts w:ascii="Book Antiqua" w:hAnsi="Book Antiqua" w:cs="Times New Roman"/>
        </w:rPr>
        <w:t>@</w:t>
      </w:r>
      <w:r w:rsidRPr="005A2D7F">
        <w:rPr>
          <w:rFonts w:ascii="Book Antiqua" w:hAnsi="Book Antiqua" w:cs="Times New Roman"/>
        </w:rPr>
        <w:t>untirta.ac.id</w:t>
      </w:r>
    </w:p>
    <w:p w:rsidR="005A2D7F" w:rsidRPr="005A2D7F" w:rsidRDefault="005A2D7F" w:rsidP="005A2D7F">
      <w:pPr>
        <w:spacing w:after="0" w:line="240" w:lineRule="auto"/>
        <w:jc w:val="center"/>
        <w:rPr>
          <w:rFonts w:ascii="Book Antiqua" w:hAnsi="Book Antiqua" w:cs="Times New Roman"/>
        </w:rPr>
      </w:pPr>
    </w:p>
    <w:p w:rsidR="005A2D7F" w:rsidRDefault="005A2D7F" w:rsidP="005A2D7F">
      <w:pPr>
        <w:spacing w:after="0" w:line="240" w:lineRule="auto"/>
        <w:jc w:val="center"/>
        <w:rPr>
          <w:rFonts w:ascii="Book Antiqua" w:hAnsi="Book Antiqua" w:cs="Times New Roman"/>
          <w:b/>
        </w:rPr>
      </w:pPr>
    </w:p>
    <w:p w:rsidR="005A2D7F" w:rsidRDefault="005A2D7F" w:rsidP="005A2D7F">
      <w:pPr>
        <w:spacing w:after="0" w:line="240" w:lineRule="auto"/>
        <w:jc w:val="center"/>
        <w:rPr>
          <w:rFonts w:ascii="Book Antiqua" w:hAnsi="Book Antiqua" w:cs="Times New Roman"/>
          <w:b/>
        </w:rPr>
      </w:pPr>
    </w:p>
    <w:p w:rsidR="005A2D7F" w:rsidRDefault="005A2D7F" w:rsidP="005A2D7F">
      <w:pPr>
        <w:spacing w:after="0" w:line="240" w:lineRule="auto"/>
        <w:jc w:val="center"/>
        <w:rPr>
          <w:rFonts w:ascii="Book Antiqua" w:hAnsi="Book Antiqua" w:cs="Times New Roman"/>
          <w:b/>
        </w:rPr>
      </w:pPr>
    </w:p>
    <w:p w:rsidR="005A2D7F" w:rsidRDefault="005A2D7F" w:rsidP="005A2D7F">
      <w:pPr>
        <w:spacing w:after="0" w:line="240" w:lineRule="auto"/>
        <w:jc w:val="center"/>
        <w:rPr>
          <w:rFonts w:ascii="Book Antiqua" w:hAnsi="Book Antiqua" w:cs="Times New Roman"/>
          <w:b/>
        </w:rPr>
      </w:pPr>
      <w:r>
        <w:rPr>
          <w:rFonts w:ascii="Book Antiqua" w:hAnsi="Book Antiqua" w:cs="Times New Roman"/>
          <w:b/>
        </w:rPr>
        <w:t>ABSTRAK:</w:t>
      </w:r>
    </w:p>
    <w:p w:rsidR="005A2D7F" w:rsidRDefault="005A2D7F" w:rsidP="005A2D7F">
      <w:pPr>
        <w:spacing w:after="0" w:line="240" w:lineRule="auto"/>
        <w:jc w:val="center"/>
        <w:rPr>
          <w:rFonts w:ascii="Book Antiqua" w:hAnsi="Book Antiqua" w:cs="Times New Roman"/>
          <w:b/>
        </w:rPr>
      </w:pPr>
    </w:p>
    <w:p w:rsidR="0016540E" w:rsidRPr="0016540E" w:rsidRDefault="005A2D7F" w:rsidP="0016540E">
      <w:pPr>
        <w:spacing w:line="240" w:lineRule="auto"/>
        <w:jc w:val="both"/>
        <w:rPr>
          <w:rFonts w:ascii="Book Antiqua" w:hAnsi="Book Antiqua" w:cs="Times New Roman"/>
        </w:rPr>
      </w:pPr>
      <w:r w:rsidRPr="005A2D7F">
        <w:rPr>
          <w:rFonts w:ascii="Book Antiqua" w:hAnsi="Book Antiqua" w:cs="Times New Roman"/>
        </w:rPr>
        <w:t>Cases of sexual violence against children are an iceberg phenomenon</w:t>
      </w:r>
      <w:r>
        <w:rPr>
          <w:rFonts w:ascii="Book Antiqua" w:hAnsi="Book Antiqua" w:cs="Times New Roman"/>
        </w:rPr>
        <w:t>.</w:t>
      </w:r>
      <w:r w:rsidR="0016540E">
        <w:rPr>
          <w:rFonts w:ascii="Book Antiqua" w:hAnsi="Book Antiqua" w:cs="Times New Roman"/>
        </w:rPr>
        <w:t xml:space="preserve"> </w:t>
      </w:r>
      <w:r w:rsidR="0016540E" w:rsidRPr="0016540E">
        <w:rPr>
          <w:rFonts w:ascii="Book Antiqua" w:hAnsi="Book Antiqua" w:cs="Times New Roman"/>
          <w:lang w:val="en"/>
        </w:rPr>
        <w:t>This means that there are many cases that are not revealed and reported, which are visible only at the peak and on the surface.</w:t>
      </w:r>
      <w:r w:rsidR="0016540E">
        <w:rPr>
          <w:rFonts w:ascii="Book Antiqua" w:hAnsi="Book Antiqua" w:cs="Times New Roman"/>
        </w:rPr>
        <w:t xml:space="preserve"> </w:t>
      </w:r>
      <w:r w:rsidR="0016540E" w:rsidRPr="0016540E">
        <w:rPr>
          <w:rFonts w:ascii="Book Antiqua" w:hAnsi="Book Antiqua" w:cs="Times New Roman"/>
          <w:lang w:val="en"/>
        </w:rPr>
        <w:t xml:space="preserve">Actually the problem is much bigger than that. Victims who experience sexual violence may also experience physical violence and suffer psychologically. Law No.17 of 2016 was enacted because of criminal sanctions for perpetrators of sexual violence against children who previously had not provided a deterrent effect and were unable to comprehensively prevent sexual violence against children. Article 81 and Article 82 of Law Number 17 Year 2016 apart from the main and additional criminal sanctions, the perpetrator may also be subject to sanctions in the form of chemical castration and the installation of electronic detection devices. Government Regulation No.70 of 2020 regulates the Procedures for Implementing Chemical Castration, Installation of Electronic Detection Devices, Rehabilitation, and Announcement of the Identity of Perpetrators of Sexual Violence against Children. However, of the many cases of sexual violence against children, only one court ruled in the form of chemical castration, namely the </w:t>
      </w:r>
      <w:proofErr w:type="spellStart"/>
      <w:r w:rsidR="0016540E" w:rsidRPr="0016540E">
        <w:rPr>
          <w:rFonts w:ascii="Book Antiqua" w:hAnsi="Book Antiqua" w:cs="Times New Roman"/>
          <w:lang w:val="en"/>
        </w:rPr>
        <w:t>Mojokerto</w:t>
      </w:r>
      <w:proofErr w:type="spellEnd"/>
      <w:r w:rsidR="0016540E" w:rsidRPr="0016540E">
        <w:rPr>
          <w:rFonts w:ascii="Book Antiqua" w:hAnsi="Book Antiqua" w:cs="Times New Roman"/>
          <w:lang w:val="en"/>
        </w:rPr>
        <w:t xml:space="preserve"> District Court, although there were several parties who refused on humanitarian grounds and were not in accordance with the purpose of the punishment. Therefore this study aims to: review chemical castration sanctions from the perspective of human rights (HAM) and the purpose of punishment. The method used in this research is normative juridical method. The results showed that the act of chemical castration and chip installation is basically a violation of human rights ("HAM"), included in the Convention against Torture and Other Cruel, Inhuman or Degrading Treatment or Punishment. However, the perpetrator at the time of committing the crime of sexual violence did not think about the rights of the child which had been protected by the state. Sexual Violence significantly threatens and endangers children's lives, damages their personal life and development, as well as disturbs the sense of comfort, peace, security and public order. The rights of the child are expressly stated in the constitution of Article 28 B paragraph (2) of the 1945 Constitution, namely: "Every child has the right to live, grow and develop and has the right to protection from violence and discrimination". In terms of the purpose of punishment, the imposition of sanctions against perpetrators of sexual violence uses a combined theory, in the form of a theory of retaliation for committing a crime so that it must be punished, as well as a theory of objectives which have certain useful purposes such as the purpose of crime is to prevent crime. There will be no castration penalty if there is no crime of sexual violence against children.</w:t>
      </w:r>
    </w:p>
    <w:p w:rsidR="005A2D7F" w:rsidRPr="0016540E" w:rsidRDefault="0016540E" w:rsidP="0016540E">
      <w:pPr>
        <w:spacing w:line="240" w:lineRule="auto"/>
        <w:jc w:val="both"/>
        <w:rPr>
          <w:rFonts w:ascii="Book Antiqua" w:hAnsi="Book Antiqua" w:cs="Times New Roman"/>
        </w:rPr>
      </w:pPr>
      <w:r w:rsidRPr="0016540E">
        <w:rPr>
          <w:rFonts w:ascii="Book Antiqua" w:hAnsi="Book Antiqua" w:cs="Times New Roman"/>
          <w:b/>
          <w:lang w:val="en"/>
        </w:rPr>
        <w:t>Keywords:</w:t>
      </w:r>
      <w:r w:rsidRPr="0016540E">
        <w:rPr>
          <w:rFonts w:ascii="Book Antiqua" w:hAnsi="Book Antiqua" w:cs="Times New Roman"/>
          <w:lang w:val="en"/>
        </w:rPr>
        <w:t xml:space="preserve"> Sexual Violence, Chemical Castration, Human Rights, Purpose of Criminalization.</w:t>
      </w:r>
    </w:p>
    <w:p w:rsidR="00B74750" w:rsidRPr="00A63C06" w:rsidRDefault="008A7C7F" w:rsidP="0016540E">
      <w:pPr>
        <w:spacing w:after="0" w:line="240" w:lineRule="auto"/>
        <w:jc w:val="center"/>
        <w:rPr>
          <w:rFonts w:ascii="Book Antiqua" w:hAnsi="Book Antiqua" w:cs="Times New Roman"/>
          <w:b/>
        </w:rPr>
      </w:pPr>
      <w:r w:rsidRPr="00A63C06">
        <w:rPr>
          <w:rFonts w:ascii="Book Antiqua" w:hAnsi="Book Antiqua" w:cs="Times New Roman"/>
          <w:b/>
        </w:rPr>
        <w:lastRenderedPageBreak/>
        <w:t>ABSTRAK</w:t>
      </w:r>
      <w:r w:rsidR="00B74750">
        <w:rPr>
          <w:rFonts w:ascii="Book Antiqua" w:hAnsi="Book Antiqua" w:cs="Times New Roman"/>
          <w:b/>
        </w:rPr>
        <w:t>:</w:t>
      </w:r>
    </w:p>
    <w:p w:rsidR="00B74750" w:rsidRDefault="008A7C7F" w:rsidP="000C6C9B">
      <w:pPr>
        <w:spacing w:after="0" w:line="240" w:lineRule="auto"/>
        <w:ind w:firstLine="720"/>
        <w:jc w:val="both"/>
        <w:rPr>
          <w:rFonts w:ascii="Book Antiqua" w:hAnsi="Book Antiqua" w:cs="Times New Roman"/>
        </w:rPr>
      </w:pPr>
      <w:r w:rsidRPr="00A63C06">
        <w:rPr>
          <w:rFonts w:ascii="Book Antiqua" w:hAnsi="Book Antiqua" w:cs="Times New Roman"/>
        </w:rPr>
        <w:t>Kasus kekerasan seksual terhadap anak merupakan fenomena gunung es. Artinya, banyak kasus yang tidak terungkap dan dilaporkan</w:t>
      </w:r>
      <w:r w:rsidR="00C61F81" w:rsidRPr="00A63C06">
        <w:rPr>
          <w:rFonts w:ascii="Book Antiqua" w:hAnsi="Book Antiqua" w:cs="Times New Roman"/>
        </w:rPr>
        <w:t>,</w:t>
      </w:r>
      <w:r w:rsidRPr="00A63C06">
        <w:rPr>
          <w:rFonts w:ascii="Book Antiqua" w:hAnsi="Book Antiqua" w:cs="Times New Roman"/>
        </w:rPr>
        <w:t xml:space="preserve"> yang terlihat hanya di bagian puncaknya dan di permukaan saja. Sebenarnya permasalahan jauh lebih besar dari itu. Korban yang mengalami kekerasan seksual bisa juga mengalami kekerasan fisik serta menderita secara psikis. </w:t>
      </w:r>
      <w:r w:rsidR="00C61F81" w:rsidRPr="00A63C06">
        <w:rPr>
          <w:rFonts w:ascii="Book Antiqua" w:hAnsi="Book Antiqua" w:cs="Times New Roman"/>
        </w:rPr>
        <w:t xml:space="preserve">Undang-undang No.17 tahun 2016 diberlakukan karena </w:t>
      </w:r>
      <w:r w:rsidR="00CF4CE8" w:rsidRPr="00A63C06">
        <w:rPr>
          <w:rFonts w:ascii="Book Antiqua" w:hAnsi="Book Antiqua" w:cs="Times New Roman"/>
        </w:rPr>
        <w:t>s</w:t>
      </w:r>
      <w:r w:rsidR="00C61F81" w:rsidRPr="00A63C06">
        <w:rPr>
          <w:rFonts w:ascii="Book Antiqua" w:hAnsi="Book Antiqua" w:cs="Times New Roman"/>
        </w:rPr>
        <w:t>anksi pidana bagi pelaku kekerasan seksual terhadap anak</w:t>
      </w:r>
      <w:r w:rsidR="002D2CAA">
        <w:rPr>
          <w:rFonts w:ascii="Book Antiqua" w:hAnsi="Book Antiqua" w:cs="Times New Roman"/>
        </w:rPr>
        <w:t xml:space="preserve"> yang</w:t>
      </w:r>
      <w:r w:rsidR="00C61F81" w:rsidRPr="00A63C06">
        <w:rPr>
          <w:rFonts w:ascii="Book Antiqua" w:hAnsi="Book Antiqua" w:cs="Times New Roman"/>
        </w:rPr>
        <w:t xml:space="preserve"> </w:t>
      </w:r>
      <w:r w:rsidR="00440F1A">
        <w:rPr>
          <w:rFonts w:ascii="Book Antiqua" w:hAnsi="Book Antiqua" w:cs="Times New Roman"/>
        </w:rPr>
        <w:t xml:space="preserve">sebelumnya </w:t>
      </w:r>
      <w:r w:rsidR="00C61F81" w:rsidRPr="00A63C06">
        <w:rPr>
          <w:rFonts w:ascii="Book Antiqua" w:hAnsi="Book Antiqua" w:cs="Times New Roman"/>
        </w:rPr>
        <w:t xml:space="preserve">belum memberikan efek jera serta belum mampu mencegah secara komprehensif </w:t>
      </w:r>
      <w:r w:rsidR="003A3CEA" w:rsidRPr="00A63C06">
        <w:rPr>
          <w:rFonts w:ascii="Book Antiqua" w:hAnsi="Book Antiqua" w:cs="Times New Roman"/>
        </w:rPr>
        <w:t>terhadap</w:t>
      </w:r>
      <w:r w:rsidR="00C61F81" w:rsidRPr="00A63C06">
        <w:rPr>
          <w:rFonts w:ascii="Book Antiqua" w:hAnsi="Book Antiqua" w:cs="Times New Roman"/>
        </w:rPr>
        <w:t xml:space="preserve"> kekerasan seksual terhadap anak</w:t>
      </w:r>
      <w:r w:rsidR="00CF4CE8" w:rsidRPr="00A63C06">
        <w:rPr>
          <w:rFonts w:ascii="Book Antiqua" w:hAnsi="Book Antiqua" w:cs="Times New Roman"/>
        </w:rPr>
        <w:t>. Pasal 81 dan Pasal 82 Undang-Undang Nomor 17 Tahun 2016</w:t>
      </w:r>
      <w:r w:rsidR="003A3CEA" w:rsidRPr="00A63C06">
        <w:rPr>
          <w:rFonts w:ascii="Book Antiqua" w:hAnsi="Book Antiqua" w:cs="Times New Roman"/>
        </w:rPr>
        <w:t xml:space="preserve"> selain sanksi pidana pokok dan</w:t>
      </w:r>
      <w:r w:rsidR="00CF4CE8" w:rsidRPr="00A63C06">
        <w:rPr>
          <w:rFonts w:ascii="Book Antiqua" w:hAnsi="Book Antiqua" w:cs="Times New Roman"/>
        </w:rPr>
        <w:t xml:space="preserve"> </w:t>
      </w:r>
      <w:r w:rsidR="003A3CEA" w:rsidRPr="00A63C06">
        <w:rPr>
          <w:rFonts w:ascii="Book Antiqua" w:hAnsi="Book Antiqua" w:cs="Times New Roman"/>
        </w:rPr>
        <w:t xml:space="preserve">tambahan, </w:t>
      </w:r>
      <w:r w:rsidR="00CF4CE8" w:rsidRPr="00A63C06">
        <w:rPr>
          <w:rFonts w:ascii="Book Antiqua" w:hAnsi="Book Antiqua" w:cs="Times New Roman"/>
        </w:rPr>
        <w:t xml:space="preserve">pelaku juga dapat dikenakan </w:t>
      </w:r>
      <w:r w:rsidR="003A3CEA" w:rsidRPr="00A63C06">
        <w:rPr>
          <w:rFonts w:ascii="Book Antiqua" w:hAnsi="Book Antiqua" w:cs="Times New Roman"/>
        </w:rPr>
        <w:t xml:space="preserve">sanksi </w:t>
      </w:r>
      <w:r w:rsidR="00CF4CE8" w:rsidRPr="00A63C06">
        <w:rPr>
          <w:rFonts w:ascii="Book Antiqua" w:hAnsi="Book Antiqua" w:cs="Times New Roman"/>
        </w:rPr>
        <w:t>tindakan</w:t>
      </w:r>
      <w:r w:rsidR="00CF4CE8" w:rsidRPr="00A63C06">
        <w:rPr>
          <w:rFonts w:ascii="Book Antiqua" w:hAnsi="Book Antiqua"/>
        </w:rPr>
        <w:t xml:space="preserve"> </w:t>
      </w:r>
      <w:r w:rsidR="00CF4CE8" w:rsidRPr="00A63C06">
        <w:rPr>
          <w:rFonts w:ascii="Book Antiqua" w:hAnsi="Book Antiqua" w:cs="Times New Roman"/>
        </w:rPr>
        <w:t>berupa kebiri kimia dan pemasangan alat pendeteksi elektronik</w:t>
      </w:r>
      <w:r w:rsidR="003A3CEA" w:rsidRPr="00A63C06">
        <w:rPr>
          <w:rFonts w:ascii="Book Antiqua" w:hAnsi="Book Antiqua" w:cs="Times New Roman"/>
        </w:rPr>
        <w:t>.</w:t>
      </w:r>
      <w:r w:rsidR="00FB7D6B" w:rsidRPr="00A63C06">
        <w:rPr>
          <w:rFonts w:ascii="Book Antiqua" w:hAnsi="Book Antiqua"/>
        </w:rPr>
        <w:t xml:space="preserve"> </w:t>
      </w:r>
      <w:r w:rsidR="002D2CAA">
        <w:rPr>
          <w:rFonts w:ascii="Book Antiqua" w:hAnsi="Book Antiqua" w:cs="Times New Roman"/>
        </w:rPr>
        <w:t>Peraturan Pemerintah</w:t>
      </w:r>
      <w:r w:rsidR="00FB7D6B" w:rsidRPr="00A63C06">
        <w:rPr>
          <w:rFonts w:ascii="Book Antiqua" w:hAnsi="Book Antiqua" w:cs="Times New Roman"/>
        </w:rPr>
        <w:t xml:space="preserve"> No.70 tahun 2020 mengatur mengenai Tata Cara Pelaksanaan Tindakan Kebiri Kimia, Pemasangan Alat Pendeteksi Elektronik, Rehabilitasi, dan Pengumuman Identitas Pelaku Kekerasan Seksual terhadap Anak. Namun d</w:t>
      </w:r>
      <w:r w:rsidR="003A3CEA" w:rsidRPr="00A63C06">
        <w:rPr>
          <w:rFonts w:ascii="Book Antiqua" w:hAnsi="Book Antiqua" w:cs="Times New Roman"/>
        </w:rPr>
        <w:t>ari sekian banyak kasus kekerasan seksual</w:t>
      </w:r>
      <w:r w:rsidR="00FB7D6B" w:rsidRPr="00A63C06">
        <w:rPr>
          <w:rFonts w:ascii="Book Antiqua" w:hAnsi="Book Antiqua" w:cs="Times New Roman"/>
        </w:rPr>
        <w:t xml:space="preserve"> terhadap anak</w:t>
      </w:r>
      <w:r w:rsidR="003A3CEA" w:rsidRPr="00A63C06">
        <w:rPr>
          <w:rFonts w:ascii="Book Antiqua" w:hAnsi="Book Antiqua" w:cs="Times New Roman"/>
        </w:rPr>
        <w:t xml:space="preserve">, </w:t>
      </w:r>
      <w:r w:rsidR="00FB7D6B" w:rsidRPr="00A63C06">
        <w:rPr>
          <w:rFonts w:ascii="Book Antiqua" w:hAnsi="Book Antiqua" w:cs="Times New Roman"/>
        </w:rPr>
        <w:t xml:space="preserve">baru satu pengadilan yang menjatuhkan putusan berupa kebiri kimia yakni di </w:t>
      </w:r>
      <w:r w:rsidR="003A3CEA" w:rsidRPr="00A63C06">
        <w:rPr>
          <w:rFonts w:ascii="Book Antiqua" w:hAnsi="Book Antiqua" w:cs="Times New Roman"/>
        </w:rPr>
        <w:t xml:space="preserve">Pengadilan Negeri </w:t>
      </w:r>
      <w:r w:rsidR="00FB7D6B" w:rsidRPr="00A63C06">
        <w:rPr>
          <w:rFonts w:ascii="Book Antiqua" w:hAnsi="Book Antiqua" w:cs="Times New Roman"/>
        </w:rPr>
        <w:t>Mojok</w:t>
      </w:r>
      <w:r w:rsidR="00E7362E" w:rsidRPr="00A63C06">
        <w:rPr>
          <w:rFonts w:ascii="Book Antiqua" w:hAnsi="Book Antiqua" w:cs="Times New Roman"/>
        </w:rPr>
        <w:t>erto meskipun ada beberapa pihak yang menolak dengan alasan kemanusiaan</w:t>
      </w:r>
      <w:r w:rsidR="00440F1A">
        <w:rPr>
          <w:rFonts w:ascii="Book Antiqua" w:hAnsi="Book Antiqua" w:cs="Times New Roman"/>
        </w:rPr>
        <w:t xml:space="preserve"> dan tidak sesuai dengan tujuan pemidanaan</w:t>
      </w:r>
      <w:r w:rsidR="00E7362E" w:rsidRPr="00A63C06">
        <w:rPr>
          <w:rFonts w:ascii="Book Antiqua" w:hAnsi="Book Antiqua" w:cs="Times New Roman"/>
        </w:rPr>
        <w:t xml:space="preserve">. </w:t>
      </w:r>
      <w:r w:rsidR="00FB7D6B" w:rsidRPr="00A63C06">
        <w:rPr>
          <w:rFonts w:ascii="Book Antiqua" w:hAnsi="Book Antiqua" w:cs="Times New Roman"/>
        </w:rPr>
        <w:t xml:space="preserve">Oleh karena itu penelitian ini bertujuan untuk : meninjau </w:t>
      </w:r>
      <w:r w:rsidR="00EE5593" w:rsidRPr="00A63C06">
        <w:rPr>
          <w:rFonts w:ascii="Book Antiqua" w:hAnsi="Book Antiqua" w:cs="Times New Roman"/>
        </w:rPr>
        <w:t>sanksi kebiri kimia dari sudut Hak Asasi Manusia (HAM) dan</w:t>
      </w:r>
      <w:r w:rsidR="00BC7DFC" w:rsidRPr="00A63C06">
        <w:rPr>
          <w:rFonts w:ascii="Book Antiqua" w:hAnsi="Book Antiqua" w:cs="Times New Roman"/>
        </w:rPr>
        <w:t xml:space="preserve"> tujuan pemidanaan.</w:t>
      </w:r>
      <w:r w:rsidR="000065CC" w:rsidRPr="00A63C06">
        <w:rPr>
          <w:rFonts w:ascii="Book Antiqua" w:hAnsi="Book Antiqua" w:cs="Times New Roman"/>
        </w:rPr>
        <w:t xml:space="preserve"> Metode yang digunakan dalam penelitian ini adalah metode yuridis normatif. Has</w:t>
      </w:r>
      <w:r w:rsidR="00A05B21" w:rsidRPr="00A63C06">
        <w:rPr>
          <w:rFonts w:ascii="Book Antiqua" w:hAnsi="Book Antiqua" w:cs="Times New Roman"/>
        </w:rPr>
        <w:t>il penelitian menunjukkan bahwa</w:t>
      </w:r>
      <w:r w:rsidR="002D2CAA" w:rsidRPr="002D2CAA">
        <w:rPr>
          <w:rFonts w:ascii="Book Antiqua" w:hAnsi="Book Antiqua" w:cs="Times New Roman"/>
        </w:rPr>
        <w:t xml:space="preserve"> </w:t>
      </w:r>
      <w:r w:rsidR="002D2CAA">
        <w:rPr>
          <w:rFonts w:ascii="Book Antiqua" w:hAnsi="Book Antiqua" w:cs="Times New Roman"/>
        </w:rPr>
        <w:t>t</w:t>
      </w:r>
      <w:r w:rsidR="002D2CAA" w:rsidRPr="002D2CAA">
        <w:rPr>
          <w:rFonts w:ascii="Book Antiqua" w:hAnsi="Book Antiqua" w:cs="Times New Roman"/>
        </w:rPr>
        <w:t>indakan kebiri kimia dan pemasangan chip pada dasarnya merupakan pelanggaran Hak Asasi Manusia (“HAM”), masuk dalam Konvensi Menentang Penyiksaan dan Perlakuan atau Penghukuman lain yang Kejam, Tidak Manusiawi atau Merendahkan Martabat Manusia. Akan tetapi pelaku pada saat melakukan kejahatan kekerasan seksual juga tidak memikirkan hak-hak anak yang telah dilindungi oleh negara.</w:t>
      </w:r>
      <w:r w:rsidR="00A05B21" w:rsidRPr="00A63C06">
        <w:rPr>
          <w:rFonts w:ascii="Book Antiqua" w:hAnsi="Book Antiqua" w:cs="Times New Roman"/>
        </w:rPr>
        <w:t xml:space="preserve"> </w:t>
      </w:r>
      <w:r w:rsidR="002D2CAA">
        <w:rPr>
          <w:rFonts w:ascii="Book Antiqua" w:hAnsi="Book Antiqua" w:cs="Times New Roman"/>
        </w:rPr>
        <w:t>Kekerasan Seksual s</w:t>
      </w:r>
      <w:r w:rsidR="002D2CAA" w:rsidRPr="002D2CAA">
        <w:rPr>
          <w:rFonts w:ascii="Book Antiqua" w:hAnsi="Book Antiqua" w:cs="Times New Roman"/>
        </w:rPr>
        <w:t>ecara signifikan mengancam dan membahayakan jiwa anak, merusak kehidupan pribadi dan tumbuh kembang anak, juga mengganggu rasa kenyamanan, ketentraman, keamanan, dan ketertiban masyarakat. Hak anak  secara  tegas  tercantum dalam  konstitusi  Pasal  28  B  ayat  (2)  Undang-Undang Dasar  1945,  yakni:  “Setiap anak berhak atas kelangsungan hidup, tumbuh, dan berkembang serta berhak atas perlindungan dari kekerasan dan diskriminasi”.</w:t>
      </w:r>
      <w:r w:rsidR="004651C6">
        <w:rPr>
          <w:rFonts w:ascii="Book Antiqua" w:hAnsi="Book Antiqua" w:cs="Times New Roman"/>
        </w:rPr>
        <w:t xml:space="preserve"> </w:t>
      </w:r>
      <w:r w:rsidR="004A6FB9">
        <w:rPr>
          <w:rFonts w:ascii="Book Antiqua" w:hAnsi="Book Antiqua" w:cs="Times New Roman"/>
        </w:rPr>
        <w:t xml:space="preserve">Ditinjau dari tujuan pemidanaan, </w:t>
      </w:r>
      <w:r w:rsidR="0025545F">
        <w:rPr>
          <w:rFonts w:ascii="Book Antiqua" w:hAnsi="Book Antiqua" w:cs="Times New Roman"/>
        </w:rPr>
        <w:t xml:space="preserve">pengenaan </w:t>
      </w:r>
      <w:r w:rsidR="004A6FB9">
        <w:rPr>
          <w:rFonts w:ascii="Book Antiqua" w:hAnsi="Book Antiqua" w:cs="Times New Roman"/>
        </w:rPr>
        <w:t xml:space="preserve">sanksi terhadap pelaku kekerasan seksual menggunakan teori gabungan, berupa </w:t>
      </w:r>
      <w:r w:rsidR="0025545F">
        <w:rPr>
          <w:rFonts w:ascii="Book Antiqua" w:hAnsi="Book Antiqua" w:cs="Times New Roman"/>
        </w:rPr>
        <w:t xml:space="preserve">teori </w:t>
      </w:r>
      <w:r w:rsidR="004A6FB9">
        <w:rPr>
          <w:rFonts w:ascii="Book Antiqua" w:hAnsi="Book Antiqua" w:cs="Times New Roman"/>
        </w:rPr>
        <w:t xml:space="preserve">pembalasan karena </w:t>
      </w:r>
      <w:r w:rsidR="0025545F">
        <w:rPr>
          <w:rFonts w:ascii="Book Antiqua" w:hAnsi="Book Antiqua" w:cs="Times New Roman"/>
        </w:rPr>
        <w:t>telah melakukan kejahatan sehingga harus di hukum, serta teori tujuan yang</w:t>
      </w:r>
      <w:r w:rsidR="0025545F" w:rsidRPr="0025545F">
        <w:rPr>
          <w:rFonts w:ascii="Book Antiqua" w:hAnsi="Book Antiqua" w:cs="Times New Roman"/>
        </w:rPr>
        <w:t xml:space="preserve"> mempunyai tujuan-tujuan tertentu yan</w:t>
      </w:r>
      <w:r w:rsidR="0025545F">
        <w:rPr>
          <w:rFonts w:ascii="Book Antiqua" w:hAnsi="Book Antiqua" w:cs="Times New Roman"/>
        </w:rPr>
        <w:t xml:space="preserve">g bermanfaat seperti tujuan pidana adalah mencegah </w:t>
      </w:r>
      <w:r w:rsidR="00E00048">
        <w:rPr>
          <w:rFonts w:ascii="Book Antiqua" w:hAnsi="Book Antiqua" w:cs="Times New Roman"/>
        </w:rPr>
        <w:t>terjadinya kejahatan.</w:t>
      </w:r>
      <w:r w:rsidR="0006331F">
        <w:rPr>
          <w:rFonts w:ascii="Book Antiqua" w:hAnsi="Book Antiqua" w:cs="Times New Roman"/>
        </w:rPr>
        <w:t xml:space="preserve"> </w:t>
      </w:r>
      <w:r w:rsidR="00B74750">
        <w:rPr>
          <w:rFonts w:ascii="Book Antiqua" w:hAnsi="Book Antiqua" w:cs="Times New Roman"/>
        </w:rPr>
        <w:t>Tidak akan ada s</w:t>
      </w:r>
      <w:r w:rsidR="0006331F" w:rsidRPr="0006331F">
        <w:rPr>
          <w:rFonts w:ascii="Book Antiqua" w:hAnsi="Book Antiqua" w:cs="Times New Roman"/>
        </w:rPr>
        <w:t xml:space="preserve">anksi kebiri </w:t>
      </w:r>
      <w:r w:rsidR="00B74750">
        <w:rPr>
          <w:rFonts w:ascii="Book Antiqua" w:hAnsi="Book Antiqua" w:cs="Times New Roman"/>
        </w:rPr>
        <w:t>jika tidak ada kejahatan kekerasan seksual terhadap anak.</w:t>
      </w:r>
    </w:p>
    <w:p w:rsidR="00B74750" w:rsidRDefault="00B74750" w:rsidP="000C6C9B">
      <w:pPr>
        <w:spacing w:after="0" w:line="240" w:lineRule="auto"/>
        <w:jc w:val="both"/>
        <w:rPr>
          <w:rFonts w:ascii="Book Antiqua" w:hAnsi="Book Antiqua" w:cs="Times New Roman"/>
        </w:rPr>
      </w:pPr>
    </w:p>
    <w:p w:rsidR="00B74750" w:rsidRDefault="00B74750" w:rsidP="000C6C9B">
      <w:pPr>
        <w:spacing w:after="0" w:line="240" w:lineRule="auto"/>
        <w:jc w:val="both"/>
        <w:rPr>
          <w:rFonts w:ascii="Book Antiqua" w:hAnsi="Book Antiqua" w:cs="Times New Roman"/>
        </w:rPr>
      </w:pPr>
    </w:p>
    <w:p w:rsidR="0006331F" w:rsidRDefault="00B74750" w:rsidP="000C6C9B">
      <w:pPr>
        <w:spacing w:after="0" w:line="240" w:lineRule="auto"/>
        <w:jc w:val="both"/>
        <w:rPr>
          <w:rFonts w:ascii="Book Antiqua" w:hAnsi="Book Antiqua" w:cs="Times New Roman"/>
        </w:rPr>
      </w:pPr>
      <w:r>
        <w:rPr>
          <w:rFonts w:ascii="Book Antiqua" w:hAnsi="Book Antiqua" w:cs="Times New Roman"/>
        </w:rPr>
        <w:t xml:space="preserve"> </w:t>
      </w:r>
    </w:p>
    <w:p w:rsidR="000065CC" w:rsidRPr="00A63C06" w:rsidRDefault="000D60F1" w:rsidP="000C6C9B">
      <w:pPr>
        <w:spacing w:after="0" w:line="240" w:lineRule="auto"/>
        <w:jc w:val="both"/>
        <w:rPr>
          <w:rFonts w:ascii="Book Antiqua" w:hAnsi="Book Antiqua" w:cs="Times New Roman"/>
        </w:rPr>
      </w:pPr>
      <w:r w:rsidRPr="00A63C06">
        <w:rPr>
          <w:rFonts w:ascii="Book Antiqua" w:hAnsi="Book Antiqua" w:cs="Times New Roman"/>
          <w:b/>
        </w:rPr>
        <w:t>Kata Kunci</w:t>
      </w:r>
      <w:r w:rsidRPr="00A63C06">
        <w:rPr>
          <w:rFonts w:ascii="Book Antiqua" w:hAnsi="Book Antiqua" w:cs="Times New Roman"/>
        </w:rPr>
        <w:t xml:space="preserve"> : </w:t>
      </w:r>
      <w:r w:rsidR="00B74750">
        <w:rPr>
          <w:rFonts w:ascii="Book Antiqua" w:hAnsi="Book Antiqua" w:cs="Times New Roman"/>
        </w:rPr>
        <w:t xml:space="preserve">Kekerasan Seksual, </w:t>
      </w:r>
      <w:r w:rsidRPr="00A63C06">
        <w:rPr>
          <w:rFonts w:ascii="Book Antiqua" w:hAnsi="Book Antiqua" w:cs="Times New Roman"/>
        </w:rPr>
        <w:t>Kebiri Kimia, Hak Asasi Manusia, Tujuan Pemidanaan.</w:t>
      </w:r>
    </w:p>
    <w:p w:rsidR="000065CC" w:rsidRPr="00A63C06" w:rsidRDefault="000065CC" w:rsidP="000C6C9B">
      <w:pPr>
        <w:spacing w:after="0" w:line="240" w:lineRule="auto"/>
        <w:jc w:val="both"/>
        <w:rPr>
          <w:rFonts w:ascii="Book Antiqua" w:hAnsi="Book Antiqua" w:cs="Times New Roman"/>
        </w:rPr>
      </w:pPr>
    </w:p>
    <w:p w:rsidR="000065CC" w:rsidRPr="00A63C06" w:rsidRDefault="000065CC" w:rsidP="000C6C9B">
      <w:pPr>
        <w:spacing w:after="0" w:line="240" w:lineRule="auto"/>
        <w:jc w:val="both"/>
        <w:rPr>
          <w:rFonts w:ascii="Book Antiqua" w:hAnsi="Book Antiqua" w:cs="Times New Roman"/>
        </w:rPr>
      </w:pPr>
    </w:p>
    <w:p w:rsidR="000065CC" w:rsidRPr="00A63C06" w:rsidRDefault="000065CC" w:rsidP="000C6C9B">
      <w:pPr>
        <w:spacing w:after="0" w:line="240" w:lineRule="auto"/>
        <w:jc w:val="both"/>
        <w:rPr>
          <w:rFonts w:ascii="Book Antiqua" w:hAnsi="Book Antiqua" w:cs="Times New Roman"/>
        </w:rPr>
      </w:pPr>
    </w:p>
    <w:p w:rsidR="000065CC" w:rsidRPr="00A63C06" w:rsidRDefault="000065CC" w:rsidP="000C6C9B">
      <w:pPr>
        <w:spacing w:after="0" w:line="240" w:lineRule="auto"/>
        <w:jc w:val="both"/>
        <w:rPr>
          <w:rFonts w:ascii="Book Antiqua" w:hAnsi="Book Antiqua" w:cs="Times New Roman"/>
        </w:rPr>
      </w:pPr>
    </w:p>
    <w:p w:rsidR="000065CC" w:rsidRPr="00A63C06" w:rsidRDefault="000065CC" w:rsidP="000C6C9B">
      <w:pPr>
        <w:spacing w:after="0" w:line="240" w:lineRule="auto"/>
        <w:jc w:val="both"/>
        <w:rPr>
          <w:rFonts w:ascii="Book Antiqua" w:hAnsi="Book Antiqua" w:cs="Times New Roman"/>
        </w:rPr>
      </w:pPr>
    </w:p>
    <w:p w:rsidR="000065CC" w:rsidRPr="00A63C06" w:rsidRDefault="000065CC" w:rsidP="000C6C9B">
      <w:pPr>
        <w:spacing w:after="0" w:line="240" w:lineRule="auto"/>
        <w:jc w:val="both"/>
        <w:rPr>
          <w:rFonts w:ascii="Book Antiqua" w:hAnsi="Book Antiqua" w:cs="Times New Roman"/>
        </w:rPr>
      </w:pPr>
    </w:p>
    <w:p w:rsidR="000065CC" w:rsidRPr="00A63C06" w:rsidRDefault="000065CC" w:rsidP="000C6C9B">
      <w:pPr>
        <w:spacing w:after="0" w:line="240" w:lineRule="auto"/>
        <w:jc w:val="both"/>
        <w:rPr>
          <w:rFonts w:ascii="Book Antiqua" w:hAnsi="Book Antiqua" w:cs="Times New Roman"/>
        </w:rPr>
      </w:pPr>
    </w:p>
    <w:p w:rsidR="000065CC" w:rsidRPr="00A63C06" w:rsidRDefault="000065CC" w:rsidP="000C6C9B">
      <w:pPr>
        <w:spacing w:after="0" w:line="240" w:lineRule="auto"/>
        <w:jc w:val="both"/>
        <w:rPr>
          <w:rFonts w:ascii="Book Antiqua" w:hAnsi="Book Antiqua" w:cs="Times New Roman"/>
        </w:rPr>
      </w:pPr>
    </w:p>
    <w:p w:rsidR="00A05B21" w:rsidRPr="00A63C06" w:rsidRDefault="00A05B21" w:rsidP="000C6C9B">
      <w:pPr>
        <w:spacing w:after="0" w:line="240" w:lineRule="auto"/>
        <w:jc w:val="both"/>
        <w:rPr>
          <w:rFonts w:ascii="Book Antiqua" w:hAnsi="Book Antiqua" w:cs="Times New Roman"/>
        </w:rPr>
      </w:pPr>
    </w:p>
    <w:p w:rsidR="00A05B21" w:rsidRPr="00A63C06" w:rsidRDefault="00A05B21" w:rsidP="000C6C9B">
      <w:pPr>
        <w:spacing w:after="0" w:line="240" w:lineRule="auto"/>
        <w:jc w:val="both"/>
        <w:rPr>
          <w:rFonts w:ascii="Book Antiqua" w:hAnsi="Book Antiqua" w:cs="Times New Roman"/>
        </w:rPr>
      </w:pPr>
    </w:p>
    <w:p w:rsidR="000E1B0D" w:rsidRDefault="000E1B0D" w:rsidP="000C6C9B">
      <w:pPr>
        <w:spacing w:after="0" w:line="240" w:lineRule="auto"/>
        <w:jc w:val="both"/>
        <w:rPr>
          <w:rFonts w:ascii="Book Antiqua" w:hAnsi="Book Antiqua" w:cs="Times New Roman"/>
          <w:b/>
        </w:rPr>
        <w:sectPr w:rsidR="000E1B0D" w:rsidSect="000E1B0D">
          <w:pgSz w:w="11906" w:h="16838"/>
          <w:pgMar w:top="1701" w:right="1418" w:bottom="1418" w:left="1701" w:header="709" w:footer="709" w:gutter="0"/>
          <w:cols w:space="708"/>
          <w:docGrid w:linePitch="360"/>
        </w:sectPr>
      </w:pPr>
    </w:p>
    <w:p w:rsidR="005D5010" w:rsidRDefault="00634A58" w:rsidP="000C6C9B">
      <w:pPr>
        <w:spacing w:after="0" w:line="240" w:lineRule="auto"/>
        <w:jc w:val="both"/>
        <w:rPr>
          <w:rFonts w:ascii="Book Antiqua" w:hAnsi="Book Antiqua" w:cs="Times New Roman"/>
          <w:shd w:val="clear" w:color="auto" w:fill="FFFFFF"/>
        </w:rPr>
      </w:pPr>
      <w:r w:rsidRPr="00A63C06">
        <w:rPr>
          <w:rFonts w:ascii="Book Antiqua" w:hAnsi="Book Antiqua" w:cs="Times New Roman"/>
          <w:b/>
        </w:rPr>
        <w:lastRenderedPageBreak/>
        <w:t>Pendahuluan</w:t>
      </w:r>
    </w:p>
    <w:p w:rsidR="00293942" w:rsidRDefault="00832A76" w:rsidP="000C6C9B">
      <w:pPr>
        <w:spacing w:after="0" w:line="240" w:lineRule="auto"/>
        <w:ind w:firstLine="720"/>
        <w:jc w:val="both"/>
        <w:rPr>
          <w:rFonts w:ascii="Book Antiqua" w:hAnsi="Book Antiqua" w:cs="Times New Roman"/>
          <w:shd w:val="clear" w:color="auto" w:fill="FFFFFF"/>
        </w:rPr>
      </w:pPr>
      <w:r w:rsidRPr="00832A76">
        <w:rPr>
          <w:rFonts w:ascii="Book Antiqua" w:hAnsi="Book Antiqua" w:cs="Times New Roman"/>
          <w:shd w:val="clear" w:color="auto" w:fill="FFFFFF"/>
        </w:rPr>
        <w:t>Perlindungan hukum terhadap anak sel</w:t>
      </w:r>
      <w:r>
        <w:rPr>
          <w:rFonts w:ascii="Book Antiqua" w:hAnsi="Book Antiqua" w:cs="Times New Roman"/>
          <w:shd w:val="clear" w:color="auto" w:fill="FFFFFF"/>
        </w:rPr>
        <w:t xml:space="preserve">alu menjadi perhatian serius di </w:t>
      </w:r>
      <w:r w:rsidRPr="00832A76">
        <w:rPr>
          <w:rFonts w:ascii="Book Antiqua" w:hAnsi="Book Antiqua" w:cs="Times New Roman"/>
          <w:shd w:val="clear" w:color="auto" w:fill="FFFFFF"/>
        </w:rPr>
        <w:t>berbagai negara khususnya di Indonesia. Kare</w:t>
      </w:r>
      <w:r>
        <w:rPr>
          <w:rFonts w:ascii="Book Antiqua" w:hAnsi="Book Antiqua" w:cs="Times New Roman"/>
          <w:shd w:val="clear" w:color="auto" w:fill="FFFFFF"/>
        </w:rPr>
        <w:t xml:space="preserve">na kasus kekerasan seksual yang </w:t>
      </w:r>
      <w:r w:rsidRPr="00832A76">
        <w:rPr>
          <w:rFonts w:ascii="Book Antiqua" w:hAnsi="Book Antiqua" w:cs="Times New Roman"/>
          <w:shd w:val="clear" w:color="auto" w:fill="FFFFFF"/>
        </w:rPr>
        <w:t>di Indonesia mengalami peningkatan setiap tahunnya, korbannya bukan hanya</w:t>
      </w:r>
      <w:r>
        <w:rPr>
          <w:rFonts w:ascii="Book Antiqua" w:hAnsi="Book Antiqua" w:cs="Times New Roman"/>
          <w:shd w:val="clear" w:color="auto" w:fill="FFFFFF"/>
        </w:rPr>
        <w:t xml:space="preserve"> dewasa saja namun juga terhadap anak-anak bahkan balita.</w:t>
      </w:r>
      <w:r w:rsidR="00DE7960">
        <w:rPr>
          <w:rFonts w:ascii="Book Antiqua" w:hAnsi="Book Antiqua" w:cs="Times New Roman"/>
          <w:shd w:val="clear" w:color="auto" w:fill="FFFFFF"/>
        </w:rPr>
        <w:t xml:space="preserve"> </w:t>
      </w:r>
      <w:r w:rsidR="00DE7960" w:rsidRPr="00DE7960">
        <w:rPr>
          <w:rFonts w:ascii="Book Antiqua" w:hAnsi="Book Antiqua" w:cs="Times New Roman"/>
          <w:shd w:val="clear" w:color="auto" w:fill="FFFFFF"/>
        </w:rPr>
        <w:t xml:space="preserve">Kekerasan atau </w:t>
      </w:r>
      <w:r w:rsidR="00DE7960" w:rsidRPr="00DE7960">
        <w:rPr>
          <w:rFonts w:ascii="Book Antiqua" w:hAnsi="Book Antiqua" w:cs="Times New Roman"/>
          <w:i/>
          <w:shd w:val="clear" w:color="auto" w:fill="FFFFFF"/>
        </w:rPr>
        <w:t>violence</w:t>
      </w:r>
      <w:r w:rsidR="00DE7960" w:rsidRPr="00DE7960">
        <w:rPr>
          <w:rFonts w:ascii="Book Antiqua" w:hAnsi="Book Antiqua" w:cs="Times New Roman"/>
          <w:shd w:val="clear" w:color="auto" w:fill="FFFFFF"/>
        </w:rPr>
        <w:t xml:space="preserve"> merupakan istilah yang terdiri dari dua kata, yaitu “vis” yang berarti (daya, kekuatan) dan </w:t>
      </w:r>
      <w:r w:rsidR="00DE7960" w:rsidRPr="00DE7960">
        <w:rPr>
          <w:rFonts w:ascii="Book Antiqua" w:hAnsi="Book Antiqua" w:cs="Times New Roman"/>
          <w:i/>
          <w:shd w:val="clear" w:color="auto" w:fill="FFFFFF"/>
        </w:rPr>
        <w:t>“latus</w:t>
      </w:r>
      <w:r w:rsidR="00DE7960" w:rsidRPr="00DE7960">
        <w:rPr>
          <w:rFonts w:ascii="Book Antiqua" w:hAnsi="Book Antiqua" w:cs="Times New Roman"/>
          <w:shd w:val="clear" w:color="auto" w:fill="FFFFFF"/>
        </w:rPr>
        <w:t>” berarti (membawa), yang kemudian diterjemahkan sebagai membawa kekuatan. Kamus Besar Bahasa Indonesia memberikan pengertian mengenai kekerasan dalam arti sempit yaitu hanya mencakup kekerasan fisik. Menurut KBBI kekerasan adalah perbuatan yang dapat menyebabkan cidera atau matinya orang lain atau menyebabkan kerusakan fisik atau barang orang lain. Kekerasan seksual adalah setiap perbuatan yang mencakup pelecehan seksual hingga perbuatan memaksa seseorang untuk melakukan hubungan seksual tanpa persetujuan korban atau di saat korban tidak menghendaki, dan atau melakukan hubungan seksual dengan cara-cara yang tidak wajar atau tidak disukai korban serta menjauhkan (mengisolasi) dari kebutuhan seksualnya</w:t>
      </w:r>
      <w:r w:rsidR="00DE7960" w:rsidRPr="00DE7960">
        <w:rPr>
          <w:rFonts w:ascii="Book Antiqua" w:hAnsi="Book Antiqua" w:cs="Times New Roman"/>
          <w:shd w:val="clear" w:color="auto" w:fill="FFFFFF"/>
          <w:vertAlign w:val="superscript"/>
        </w:rPr>
        <w:footnoteReference w:id="1"/>
      </w:r>
      <w:r w:rsidR="00DE7960" w:rsidRPr="00DE7960">
        <w:rPr>
          <w:rFonts w:ascii="Book Antiqua" w:hAnsi="Book Antiqua" w:cs="Times New Roman"/>
          <w:shd w:val="clear" w:color="auto" w:fill="FFFFFF"/>
        </w:rPr>
        <w:t xml:space="preserve">. Kekerasan seksual merupakan suatu tindakan baik yang berupa ucapan ataupun perbuatan yang dilakukan seseorang untuk menguasai serta membuat orang lain terlibat dalam aktifitas seksual yang tidak dikehendaki oleh orang lain tersebut. Terdapat dua unsur penting dalam kekerasan seksual, yaitu adanya unsur pemaksaan atau unsur tidak adanya persetujuan dari pihak lain, dan unsur korban tidak mampu atau belum </w:t>
      </w:r>
      <w:r w:rsidR="00DE7960" w:rsidRPr="00DE7960">
        <w:rPr>
          <w:rFonts w:ascii="Book Antiqua" w:hAnsi="Book Antiqua" w:cs="Times New Roman"/>
          <w:shd w:val="clear" w:color="auto" w:fill="FFFFFF"/>
        </w:rPr>
        <w:lastRenderedPageBreak/>
        <w:t>mampu memberikan persetujuan, misalnya kekerasan seksual pada anak. Kekerasan seksual adalah segala kegiatan yang terdiri dari aktivitas seksual yang dilakukan secara paksa oleh orang dewasa pada anak atau oleh anak kepada anak lainnya. Kekerasasan seksual meliputi penggunaaan atau pelibatan anak secara komersial dalam kegiatan seksual, bujukan ajakan atau paksaan terhadap anak untuk terlibat dalam kegiatan seksual, pelibatan anak dalam media audio visual dan pelacuran anak  (UNICEF, 2014).</w:t>
      </w:r>
      <w:r w:rsidR="00DE7960">
        <w:rPr>
          <w:rFonts w:ascii="Book Antiqua" w:hAnsi="Book Antiqua" w:cs="Times New Roman"/>
          <w:shd w:val="clear" w:color="auto" w:fill="FFFFFF"/>
        </w:rPr>
        <w:t xml:space="preserve"> </w:t>
      </w:r>
      <w:r w:rsidR="00DE7960" w:rsidRPr="00DE7960">
        <w:rPr>
          <w:rFonts w:ascii="Book Antiqua" w:hAnsi="Book Antiqua" w:cs="Times New Roman"/>
          <w:shd w:val="clear" w:color="auto" w:fill="FFFFFF"/>
        </w:rPr>
        <w:t xml:space="preserve">Kekerasan seksual terhadap anak merupakan kejahatan serius </w:t>
      </w:r>
      <w:r w:rsidR="00DE7960" w:rsidRPr="00DE7960">
        <w:rPr>
          <w:rFonts w:ascii="Book Antiqua" w:hAnsi="Book Antiqua" w:cs="Times New Roman"/>
          <w:i/>
          <w:shd w:val="clear" w:color="auto" w:fill="FFFFFF"/>
        </w:rPr>
        <w:t>(serious crimes)</w:t>
      </w:r>
      <w:r w:rsidR="00DE7960" w:rsidRPr="00DE7960">
        <w:rPr>
          <w:rFonts w:ascii="Book Antiqua" w:hAnsi="Book Antiqua" w:cs="Times New Roman"/>
          <w:shd w:val="clear" w:color="auto" w:fill="FFFFFF"/>
        </w:rPr>
        <w:t xml:space="preserve"> yang semakin meningkat dari waktu ke waktu dan secara signifikan mengancam dan membahayakan jiwa anak, merusak kehidupan pribadi dan tumbuh kembang anak, </w:t>
      </w:r>
      <w:r w:rsidR="00DE7960">
        <w:rPr>
          <w:rFonts w:ascii="Book Antiqua" w:hAnsi="Book Antiqua" w:cs="Times New Roman"/>
          <w:shd w:val="clear" w:color="auto" w:fill="FFFFFF"/>
        </w:rPr>
        <w:t>juga</w:t>
      </w:r>
      <w:r w:rsidR="00DE7960" w:rsidRPr="00DE7960">
        <w:rPr>
          <w:rFonts w:ascii="Book Antiqua" w:hAnsi="Book Antiqua" w:cs="Times New Roman"/>
          <w:shd w:val="clear" w:color="auto" w:fill="FFFFFF"/>
        </w:rPr>
        <w:t xml:space="preserve"> mengganggu rasa kenyamanan, ketentraman, keamanan, dan ketertiban masyarakat.</w:t>
      </w:r>
      <w:r>
        <w:rPr>
          <w:rFonts w:ascii="Book Antiqua" w:hAnsi="Book Antiqua" w:cs="Times New Roman"/>
          <w:shd w:val="clear" w:color="auto" w:fill="FFFFFF"/>
        </w:rPr>
        <w:t xml:space="preserve"> </w:t>
      </w:r>
      <w:r w:rsidR="005D5010">
        <w:rPr>
          <w:rFonts w:ascii="Book Antiqua" w:hAnsi="Book Antiqua" w:cs="Times New Roman"/>
          <w:shd w:val="clear" w:color="auto" w:fill="FFFFFF"/>
        </w:rPr>
        <w:t xml:space="preserve">Hak anak  secara  tegas  tercantum </w:t>
      </w:r>
      <w:r w:rsidR="005D5010" w:rsidRPr="005D5010">
        <w:rPr>
          <w:rFonts w:ascii="Book Antiqua" w:hAnsi="Book Antiqua" w:cs="Times New Roman"/>
          <w:shd w:val="clear" w:color="auto" w:fill="FFFFFF"/>
        </w:rPr>
        <w:t xml:space="preserve">dalam  konstitusi  Pasal  28  B  ayat  (2)  Undang-Undang Dasar  1945,  </w:t>
      </w:r>
      <w:r w:rsidR="005D5010">
        <w:rPr>
          <w:rFonts w:ascii="Book Antiqua" w:hAnsi="Book Antiqua" w:cs="Times New Roman"/>
          <w:shd w:val="clear" w:color="auto" w:fill="FFFFFF"/>
        </w:rPr>
        <w:t xml:space="preserve">yakni: </w:t>
      </w:r>
      <w:r w:rsidR="005D5010" w:rsidRPr="005D5010">
        <w:rPr>
          <w:rFonts w:ascii="Book Antiqua" w:hAnsi="Book Antiqua" w:cs="Times New Roman"/>
          <w:shd w:val="clear" w:color="auto" w:fill="FFFFFF"/>
        </w:rPr>
        <w:t xml:space="preserve"> </w:t>
      </w:r>
      <w:r w:rsidR="005D5010">
        <w:rPr>
          <w:rFonts w:ascii="Book Antiqua" w:hAnsi="Book Antiqua" w:cs="Times New Roman"/>
          <w:shd w:val="clear" w:color="auto" w:fill="FFFFFF"/>
        </w:rPr>
        <w:t>“</w:t>
      </w:r>
      <w:r w:rsidR="005D5010" w:rsidRPr="005D5010">
        <w:rPr>
          <w:rFonts w:ascii="Book Antiqua" w:hAnsi="Book Antiqua" w:cs="Times New Roman"/>
          <w:shd w:val="clear" w:color="auto" w:fill="FFFFFF"/>
        </w:rPr>
        <w:t>Setiap anak berhak atas kelangsungan hidup, tumbuh, dan berkembang serta berhak atas perlindungan dari kekerasan dan diskriminasi</w:t>
      </w:r>
      <w:r w:rsidR="005D5010">
        <w:rPr>
          <w:rFonts w:ascii="Book Antiqua" w:hAnsi="Book Antiqua" w:cs="Times New Roman"/>
          <w:shd w:val="clear" w:color="auto" w:fill="FFFFFF"/>
        </w:rPr>
        <w:t>”. Kasus   kekerasan   seksual   terhadap</w:t>
      </w:r>
      <w:r w:rsidR="005D5010" w:rsidRPr="005D5010">
        <w:rPr>
          <w:rFonts w:ascii="Book Antiqua" w:hAnsi="Book Antiqua" w:cs="Times New Roman"/>
          <w:shd w:val="clear" w:color="auto" w:fill="FFFFFF"/>
        </w:rPr>
        <w:t xml:space="preserve">   anak </w:t>
      </w:r>
      <w:r w:rsidR="005D5010">
        <w:rPr>
          <w:rFonts w:ascii="Book Antiqua" w:hAnsi="Book Antiqua" w:cs="Times New Roman"/>
          <w:shd w:val="clear" w:color="auto" w:fill="FFFFFF"/>
        </w:rPr>
        <w:t>mempunyai</w:t>
      </w:r>
      <w:r w:rsidR="005D5010" w:rsidRPr="005D5010">
        <w:rPr>
          <w:rFonts w:ascii="Book Antiqua" w:hAnsi="Book Antiqua" w:cs="Times New Roman"/>
          <w:shd w:val="clear" w:color="auto" w:fill="FFFFFF"/>
        </w:rPr>
        <w:t xml:space="preserve">  dampak  yang  jau</w:t>
      </w:r>
      <w:r w:rsidR="005D5010">
        <w:rPr>
          <w:rFonts w:ascii="Book Antiqua" w:hAnsi="Book Antiqua" w:cs="Times New Roman"/>
          <w:shd w:val="clear" w:color="auto" w:fill="FFFFFF"/>
        </w:rPr>
        <w:t>h  lebih  serius</w:t>
      </w:r>
      <w:r w:rsidR="005D5010" w:rsidRPr="005D5010">
        <w:rPr>
          <w:rFonts w:ascii="Book Antiqua" w:hAnsi="Book Antiqua" w:cs="Times New Roman"/>
          <w:shd w:val="clear" w:color="auto" w:fill="FFFFFF"/>
        </w:rPr>
        <w:t>,  baik  secara  langsu</w:t>
      </w:r>
      <w:r w:rsidR="005D5010">
        <w:rPr>
          <w:rFonts w:ascii="Book Antiqua" w:hAnsi="Book Antiqua" w:cs="Times New Roman"/>
          <w:shd w:val="clear" w:color="auto" w:fill="FFFFFF"/>
        </w:rPr>
        <w:t>ng  maupun jangka  panjang.  Kekerasan seksual</w:t>
      </w:r>
      <w:r w:rsidR="005D5010" w:rsidRPr="005D5010">
        <w:rPr>
          <w:rFonts w:ascii="Book Antiqua" w:hAnsi="Book Antiqua" w:cs="Times New Roman"/>
          <w:shd w:val="clear" w:color="auto" w:fill="FFFFFF"/>
        </w:rPr>
        <w:t xml:space="preserve">  </w:t>
      </w:r>
      <w:r w:rsidR="005D5010">
        <w:rPr>
          <w:rFonts w:ascii="Book Antiqua" w:hAnsi="Book Antiqua" w:cs="Times New Roman"/>
          <w:shd w:val="clear" w:color="auto" w:fill="FFFFFF"/>
        </w:rPr>
        <w:t>terhadap anak</w:t>
      </w:r>
      <w:r w:rsidR="005D5010" w:rsidRPr="005D5010">
        <w:rPr>
          <w:rFonts w:ascii="Book Antiqua" w:hAnsi="Book Antiqua" w:cs="Times New Roman"/>
          <w:shd w:val="clear" w:color="auto" w:fill="FFFFFF"/>
        </w:rPr>
        <w:t xml:space="preserve">  tidak  hanya  meni</w:t>
      </w:r>
      <w:r w:rsidR="005D5010">
        <w:rPr>
          <w:rFonts w:ascii="Book Antiqua" w:hAnsi="Book Antiqua" w:cs="Times New Roman"/>
          <w:shd w:val="clear" w:color="auto" w:fill="FFFFFF"/>
        </w:rPr>
        <w:t xml:space="preserve">nggalkan  luka  secara  fisik namun </w:t>
      </w:r>
      <w:r w:rsidR="005D5010" w:rsidRPr="005D5010">
        <w:rPr>
          <w:rFonts w:ascii="Book Antiqua" w:hAnsi="Book Antiqua" w:cs="Times New Roman"/>
          <w:shd w:val="clear" w:color="auto" w:fill="FFFFFF"/>
        </w:rPr>
        <w:t>memberikan  efek  buruk  pada  perkembangan  emosiona</w:t>
      </w:r>
      <w:r w:rsidR="005D5010">
        <w:rPr>
          <w:rFonts w:ascii="Book Antiqua" w:hAnsi="Book Antiqua" w:cs="Times New Roman"/>
          <w:shd w:val="clear" w:color="auto" w:fill="FFFFFF"/>
        </w:rPr>
        <w:t>l, sosial, dan psikologi korban.</w:t>
      </w:r>
      <w:r w:rsidR="005D5010" w:rsidRPr="00A63C06">
        <w:rPr>
          <w:rFonts w:ascii="Book Antiqua" w:hAnsi="Book Antiqua" w:cs="Times New Roman"/>
          <w:shd w:val="clear" w:color="auto" w:fill="FFFFFF"/>
        </w:rPr>
        <w:t xml:space="preserve"> </w:t>
      </w:r>
      <w:r w:rsidR="00280857" w:rsidRPr="00A63C06">
        <w:rPr>
          <w:rFonts w:ascii="Book Antiqua" w:hAnsi="Book Antiqua" w:cs="Times New Roman"/>
          <w:shd w:val="clear" w:color="auto" w:fill="FFFFFF"/>
        </w:rPr>
        <w:t>Upaya</w:t>
      </w:r>
      <w:r w:rsidR="005D5010">
        <w:rPr>
          <w:rFonts w:ascii="Book Antiqua" w:hAnsi="Book Antiqua" w:cs="Times New Roman"/>
          <w:shd w:val="clear" w:color="auto" w:fill="FFFFFF"/>
        </w:rPr>
        <w:t xml:space="preserve"> </w:t>
      </w:r>
      <w:r w:rsidR="00280857" w:rsidRPr="00A63C06">
        <w:rPr>
          <w:rFonts w:ascii="Book Antiqua" w:hAnsi="Book Antiqua" w:cs="Times New Roman"/>
          <w:shd w:val="clear" w:color="auto" w:fill="FFFFFF"/>
        </w:rPr>
        <w:t xml:space="preserve">perlindungan hukum dalam hal kekerasan seksual terhadap anak </w:t>
      </w:r>
      <w:r w:rsidR="000D60F1" w:rsidRPr="00A63C06">
        <w:rPr>
          <w:rFonts w:ascii="Book Antiqua" w:hAnsi="Book Antiqua" w:cs="Times New Roman"/>
          <w:shd w:val="clear" w:color="auto" w:fill="FFFFFF"/>
        </w:rPr>
        <w:t xml:space="preserve">sudah </w:t>
      </w:r>
      <w:r w:rsidR="00BE4A9C" w:rsidRPr="00A63C06">
        <w:rPr>
          <w:rFonts w:ascii="Book Antiqua" w:hAnsi="Book Antiqua" w:cs="Times New Roman"/>
          <w:shd w:val="clear" w:color="auto" w:fill="FFFFFF"/>
        </w:rPr>
        <w:t>diatur</w:t>
      </w:r>
      <w:r w:rsidR="00280857" w:rsidRPr="00A63C06">
        <w:rPr>
          <w:rFonts w:ascii="Book Antiqua" w:hAnsi="Book Antiqua" w:cs="Times New Roman"/>
          <w:shd w:val="clear" w:color="auto" w:fill="FFFFFF"/>
        </w:rPr>
        <w:t xml:space="preserve"> dalam </w:t>
      </w:r>
      <w:r w:rsidR="00A05B21" w:rsidRPr="00A63C06">
        <w:rPr>
          <w:rFonts w:ascii="Book Antiqua" w:hAnsi="Book Antiqua" w:cs="Times New Roman"/>
          <w:shd w:val="clear" w:color="auto" w:fill="FFFFFF"/>
        </w:rPr>
        <w:t>Undang-Undang Nomor 23 Tahun 2002 tentang Perlindungan Anak</w:t>
      </w:r>
      <w:r w:rsidR="00BE4A9C" w:rsidRPr="00A63C06">
        <w:rPr>
          <w:rFonts w:ascii="Book Antiqua" w:hAnsi="Book Antiqua" w:cs="Times New Roman"/>
          <w:shd w:val="clear" w:color="auto" w:fill="FFFFFF"/>
        </w:rPr>
        <w:t xml:space="preserve"> dan</w:t>
      </w:r>
      <w:r w:rsidR="00A05B21" w:rsidRPr="00A63C06">
        <w:rPr>
          <w:rFonts w:ascii="Book Antiqua" w:hAnsi="Book Antiqua" w:cs="Times New Roman"/>
          <w:shd w:val="clear" w:color="auto" w:fill="FFFFFF"/>
        </w:rPr>
        <w:t xml:space="preserve"> telah diubah </w:t>
      </w:r>
      <w:r w:rsidR="009237DC" w:rsidRPr="00A63C06">
        <w:rPr>
          <w:rFonts w:ascii="Book Antiqua" w:hAnsi="Book Antiqua" w:cs="Times New Roman"/>
          <w:shd w:val="clear" w:color="auto" w:fill="FFFFFF"/>
        </w:rPr>
        <w:t>dengan</w:t>
      </w:r>
      <w:r w:rsidR="00A05B21" w:rsidRPr="00A63C06">
        <w:rPr>
          <w:rFonts w:ascii="Book Antiqua" w:hAnsi="Book Antiqua" w:cs="Times New Roman"/>
          <w:shd w:val="clear" w:color="auto" w:fill="FFFFFF"/>
        </w:rPr>
        <w:t xml:space="preserve"> Undang-Undang Nomor 35 Tahun 2014 tentang Perubahan atas Undang-Undang Nomor 23 Tahun</w:t>
      </w:r>
      <w:r w:rsidR="009237DC" w:rsidRPr="00A63C06">
        <w:rPr>
          <w:rFonts w:ascii="Book Antiqua" w:hAnsi="Book Antiqua" w:cs="Times New Roman"/>
          <w:shd w:val="clear" w:color="auto" w:fill="FFFFFF"/>
        </w:rPr>
        <w:t xml:space="preserve"> 2002 tentang Perlindungan Anak, </w:t>
      </w:r>
      <w:r w:rsidR="00A05B21" w:rsidRPr="00A63C06">
        <w:rPr>
          <w:rFonts w:ascii="Book Antiqua" w:hAnsi="Book Antiqua" w:cs="Times New Roman"/>
          <w:shd w:val="clear" w:color="auto" w:fill="FFFFFF"/>
        </w:rPr>
        <w:t xml:space="preserve">salah satu perubahannya menitikberatkan pada pemberatan sanksi pidana terhadap pelaku kekerasan seksual terhadap anak. </w:t>
      </w:r>
      <w:r w:rsidR="009237DC" w:rsidRPr="00A63C06">
        <w:rPr>
          <w:rFonts w:ascii="Book Antiqua" w:hAnsi="Book Antiqua" w:cs="Times New Roman"/>
          <w:shd w:val="clear" w:color="auto" w:fill="FFFFFF"/>
        </w:rPr>
        <w:t>Akan tetapi</w:t>
      </w:r>
      <w:r w:rsidR="00A05B21" w:rsidRPr="00A63C06">
        <w:rPr>
          <w:rFonts w:ascii="Book Antiqua" w:hAnsi="Book Antiqua" w:cs="Times New Roman"/>
          <w:shd w:val="clear" w:color="auto" w:fill="FFFFFF"/>
        </w:rPr>
        <w:t xml:space="preserve">, </w:t>
      </w:r>
      <w:r w:rsidR="00A05B21" w:rsidRPr="00A63C06">
        <w:rPr>
          <w:rFonts w:ascii="Book Antiqua" w:hAnsi="Book Antiqua" w:cs="Times New Roman"/>
          <w:shd w:val="clear" w:color="auto" w:fill="FFFFFF"/>
        </w:rPr>
        <w:lastRenderedPageBreak/>
        <w:t>perubahan Undang-Undang tersebut belum</w:t>
      </w:r>
      <w:r w:rsidR="009237DC" w:rsidRPr="00A63C06">
        <w:rPr>
          <w:rFonts w:ascii="Book Antiqua" w:hAnsi="Book Antiqua" w:cs="Times New Roman"/>
          <w:shd w:val="clear" w:color="auto" w:fill="FFFFFF"/>
        </w:rPr>
        <w:t xml:space="preserve"> dapat</w:t>
      </w:r>
      <w:r w:rsidR="00A05B21" w:rsidRPr="00A63C06">
        <w:rPr>
          <w:rFonts w:ascii="Book Antiqua" w:hAnsi="Book Antiqua" w:cs="Times New Roman"/>
          <w:shd w:val="clear" w:color="auto" w:fill="FFFFFF"/>
        </w:rPr>
        <w:t xml:space="preserve"> menurunkan tingkat kekerasan seksual terhadap anak secara signifikan.</w:t>
      </w:r>
      <w:r w:rsidR="009237DC" w:rsidRPr="00A63C06">
        <w:rPr>
          <w:rFonts w:ascii="Book Antiqua" w:hAnsi="Book Antiqua" w:cs="Times New Roman"/>
          <w:shd w:val="clear" w:color="auto" w:fill="FFFFFF"/>
        </w:rPr>
        <w:t xml:space="preserve"> Peraturan Pemerintah Pengganti Undang-Undang </w:t>
      </w:r>
      <w:r w:rsidR="00634A58" w:rsidRPr="00A63C06">
        <w:rPr>
          <w:rFonts w:ascii="Book Antiqua" w:hAnsi="Book Antiqua" w:cs="Times New Roman"/>
          <w:shd w:val="clear" w:color="auto" w:fill="FFFFFF"/>
        </w:rPr>
        <w:t xml:space="preserve">(PERPU) </w:t>
      </w:r>
      <w:r w:rsidR="009237DC" w:rsidRPr="00A63C06">
        <w:rPr>
          <w:rFonts w:ascii="Book Antiqua" w:hAnsi="Book Antiqua" w:cs="Times New Roman"/>
          <w:shd w:val="clear" w:color="auto" w:fill="FFFFFF"/>
        </w:rPr>
        <w:t>Nomor 1 Tahun 2016 tentang Perubahan Kedua atas Undang-Undang Nomor 23 Tahun 2002 tentang Perlindungan Anak</w:t>
      </w:r>
      <w:r w:rsidR="00634A58" w:rsidRPr="00A63C06">
        <w:rPr>
          <w:rFonts w:ascii="Book Antiqua" w:hAnsi="Book Antiqua" w:cs="Times New Roman"/>
          <w:shd w:val="clear" w:color="auto" w:fill="FFFFFF"/>
        </w:rPr>
        <w:t xml:space="preserve"> diberlakukan untuk menyikapi fenomena kekerasan seksual terhadap anak, memberi efek jera terhadap pelaku, dan mencegah terjadinya kekerasan seksual terhadap anak. Kemudian ditetapkan menjadi Undang-undang No.</w:t>
      </w:r>
      <w:r w:rsidR="009237DC" w:rsidRPr="00A63C06">
        <w:rPr>
          <w:rFonts w:ascii="Book Antiqua" w:hAnsi="Book Antiqua" w:cs="Times New Roman"/>
          <w:shd w:val="clear" w:color="auto" w:fill="FFFFFF"/>
        </w:rPr>
        <w:t xml:space="preserve"> 17 tahun 2016 tentang Penetapan </w:t>
      </w:r>
      <w:r w:rsidR="00634A58" w:rsidRPr="00A63C06">
        <w:rPr>
          <w:rFonts w:ascii="Book Antiqua" w:hAnsi="Book Antiqua" w:cs="Times New Roman"/>
          <w:shd w:val="clear" w:color="auto" w:fill="FFFFFF"/>
        </w:rPr>
        <w:t>PERPU</w:t>
      </w:r>
      <w:r w:rsidR="009237DC" w:rsidRPr="00A63C06">
        <w:rPr>
          <w:rFonts w:ascii="Book Antiqua" w:hAnsi="Book Antiqua" w:cs="Times New Roman"/>
          <w:shd w:val="clear" w:color="auto" w:fill="FFFFFF"/>
        </w:rPr>
        <w:t xml:space="preserve"> 1 tahun 2016 tentang Perubahan Kedua atas Undang-undang No. 23 tahun 2002 tentang Perlindungan Anak. Aturan tersebut</w:t>
      </w:r>
      <w:r w:rsidR="00A05B21" w:rsidRPr="00A63C06">
        <w:rPr>
          <w:rFonts w:ascii="Book Antiqua" w:hAnsi="Book Antiqua" w:cs="Times New Roman"/>
          <w:shd w:val="clear" w:color="auto" w:fill="FFFFFF"/>
        </w:rPr>
        <w:t xml:space="preserve"> memberikan pemberatan sanksi pidana, </w:t>
      </w:r>
      <w:r w:rsidR="009237DC" w:rsidRPr="00A63C06">
        <w:rPr>
          <w:rFonts w:ascii="Book Antiqua" w:hAnsi="Book Antiqua" w:cs="Times New Roman"/>
          <w:shd w:val="clear" w:color="auto" w:fill="FFFFFF"/>
        </w:rPr>
        <w:t>sert</w:t>
      </w:r>
      <w:r w:rsidR="00A05B21" w:rsidRPr="00A63C06">
        <w:rPr>
          <w:rFonts w:ascii="Book Antiqua" w:hAnsi="Book Antiqua" w:cs="Times New Roman"/>
          <w:shd w:val="clear" w:color="auto" w:fill="FFFFFF"/>
        </w:rPr>
        <w:t>a menerapkan bentuk pencegahan (preventif) dengan memberikan tindakan berupa kebiri kimia, pemasangan alat pendeteksi elektronik, dan rehabilitasi bagi pelaku kekerasan seksual terhadap anak</w:t>
      </w:r>
      <w:r w:rsidR="000D60F1" w:rsidRPr="00A63C06">
        <w:rPr>
          <w:rFonts w:ascii="Book Antiqua" w:hAnsi="Book Antiqua" w:cs="Times New Roman"/>
          <w:shd w:val="clear" w:color="auto" w:fill="FFFFFF"/>
        </w:rPr>
        <w:t xml:space="preserve">. </w:t>
      </w:r>
      <w:r w:rsidR="00170BA7" w:rsidRPr="00A63C06">
        <w:rPr>
          <w:rFonts w:ascii="Book Antiqua" w:hAnsi="Book Antiqua" w:cs="Times New Roman"/>
          <w:shd w:val="clear" w:color="auto" w:fill="FFFFFF"/>
        </w:rPr>
        <w:t>Untuk pelaksanaaan sanksi tersebut diatur dalam Peraturan Pemerintah (PP) No.</w:t>
      </w:r>
      <w:r w:rsidR="000D60F1" w:rsidRPr="00A63C06">
        <w:rPr>
          <w:rFonts w:ascii="Book Antiqua" w:hAnsi="Book Antiqua" w:cs="Times New Roman"/>
          <w:shd w:val="clear" w:color="auto" w:fill="FFFFFF"/>
        </w:rPr>
        <w:t>70 Tahun 2020 Tentang Tata Cara Pelaksanaan Tindakan Kebiri Kimia, Pemasangan Alat Pendeteksi Elektronik</w:t>
      </w:r>
      <w:r w:rsidR="00A6085A" w:rsidRPr="00A63C06">
        <w:rPr>
          <w:rFonts w:ascii="Book Antiqua" w:hAnsi="Book Antiqua" w:cs="Times New Roman"/>
          <w:shd w:val="clear" w:color="auto" w:fill="FFFFFF"/>
        </w:rPr>
        <w:t>, Rehabilitasi, dan Pengumuman Identitas Pelaku Kekerasan Seksual Terhadap Anak.</w:t>
      </w:r>
      <w:r>
        <w:rPr>
          <w:rFonts w:ascii="Book Antiqua" w:hAnsi="Book Antiqua" w:cs="Times New Roman"/>
          <w:shd w:val="clear" w:color="auto" w:fill="FFFFFF"/>
        </w:rPr>
        <w:t xml:space="preserve"> </w:t>
      </w:r>
      <w:r w:rsidR="00293942" w:rsidRPr="00293942">
        <w:rPr>
          <w:rFonts w:ascii="Book Antiqua" w:hAnsi="Book Antiqua" w:cs="Times New Roman"/>
          <w:shd w:val="clear" w:color="auto" w:fill="FFFFFF"/>
        </w:rPr>
        <w:t xml:space="preserve">Kebiri  Kimia  merupakan  </w:t>
      </w:r>
      <w:r>
        <w:rPr>
          <w:rFonts w:ascii="Book Antiqua" w:hAnsi="Book Antiqua" w:cs="Times New Roman"/>
          <w:shd w:val="clear" w:color="auto" w:fill="FFFFFF"/>
        </w:rPr>
        <w:t xml:space="preserve">sanksi pidana </w:t>
      </w:r>
      <w:r w:rsidR="00293942" w:rsidRPr="00293942">
        <w:rPr>
          <w:rFonts w:ascii="Book Antiqua" w:hAnsi="Book Antiqua" w:cs="Times New Roman"/>
          <w:shd w:val="clear" w:color="auto" w:fill="FFFFFF"/>
        </w:rPr>
        <w:t xml:space="preserve">yang  baru  di  Indonesia,  </w:t>
      </w:r>
      <w:r w:rsidR="00293942">
        <w:rPr>
          <w:rFonts w:ascii="Book Antiqua" w:hAnsi="Book Antiqua" w:cs="Times New Roman"/>
          <w:shd w:val="clear" w:color="auto" w:fill="FFFFFF"/>
        </w:rPr>
        <w:t xml:space="preserve">namun </w:t>
      </w:r>
      <w:r>
        <w:rPr>
          <w:rFonts w:ascii="Book Antiqua" w:hAnsi="Book Antiqua" w:cs="Times New Roman"/>
          <w:shd w:val="clear" w:color="auto" w:fill="FFFFFF"/>
        </w:rPr>
        <w:t xml:space="preserve">sering </w:t>
      </w:r>
      <w:r w:rsidR="00293942" w:rsidRPr="00293942">
        <w:rPr>
          <w:rFonts w:ascii="Book Antiqua" w:hAnsi="Book Antiqua" w:cs="Times New Roman"/>
          <w:shd w:val="clear" w:color="auto" w:fill="FFFFFF"/>
        </w:rPr>
        <w:t xml:space="preserve">terjadi  pro kontra  terkait  </w:t>
      </w:r>
      <w:r>
        <w:rPr>
          <w:rFonts w:ascii="Book Antiqua" w:hAnsi="Book Antiqua" w:cs="Times New Roman"/>
          <w:shd w:val="clear" w:color="auto" w:fill="FFFFFF"/>
        </w:rPr>
        <w:t>implementasi</w:t>
      </w:r>
      <w:r w:rsidR="00293942" w:rsidRPr="00293942">
        <w:rPr>
          <w:rFonts w:ascii="Book Antiqua" w:hAnsi="Book Antiqua" w:cs="Times New Roman"/>
          <w:shd w:val="clear" w:color="auto" w:fill="FFFFFF"/>
        </w:rPr>
        <w:t xml:space="preserve">  </w:t>
      </w:r>
      <w:r>
        <w:rPr>
          <w:rFonts w:ascii="Book Antiqua" w:hAnsi="Book Antiqua" w:cs="Times New Roman"/>
          <w:shd w:val="clear" w:color="auto" w:fill="FFFFFF"/>
        </w:rPr>
        <w:t xml:space="preserve">sanksi kebiri </w:t>
      </w:r>
      <w:r w:rsidR="00293942" w:rsidRPr="00293942">
        <w:rPr>
          <w:rFonts w:ascii="Book Antiqua" w:hAnsi="Book Antiqua" w:cs="Times New Roman"/>
          <w:shd w:val="clear" w:color="auto" w:fill="FFFFFF"/>
        </w:rPr>
        <w:t>tersebut</w:t>
      </w:r>
      <w:r w:rsidR="00293942">
        <w:rPr>
          <w:rFonts w:ascii="Book Antiqua" w:hAnsi="Book Antiqua" w:cs="Times New Roman"/>
          <w:shd w:val="clear" w:color="auto" w:fill="FFFFFF"/>
        </w:rPr>
        <w:t xml:space="preserve">. </w:t>
      </w:r>
      <w:r w:rsidR="00280857" w:rsidRPr="00A63C06">
        <w:rPr>
          <w:rFonts w:ascii="Book Antiqua" w:hAnsi="Book Antiqua" w:cs="Times New Roman"/>
          <w:shd w:val="clear" w:color="auto" w:fill="FFFFFF"/>
        </w:rPr>
        <w:t>Komisi Nasional untuk Hak Asasi Manusia (Komnas HAM) menilai hukuman kebiri kimia bagi pelaku kekerasan seksual terhadap</w:t>
      </w:r>
      <w:r w:rsidR="00BE4A9C" w:rsidRPr="00A63C06">
        <w:rPr>
          <w:rFonts w:ascii="Book Antiqua" w:hAnsi="Book Antiqua" w:cs="Times New Roman"/>
          <w:shd w:val="clear" w:color="auto" w:fill="FFFFFF"/>
        </w:rPr>
        <w:t xml:space="preserve"> anak tidak sesuai prinsip HAM sehingga</w:t>
      </w:r>
      <w:r w:rsidR="00280857" w:rsidRPr="00A63C06">
        <w:rPr>
          <w:rFonts w:ascii="Book Antiqua" w:hAnsi="Book Antiqua" w:cs="Times New Roman"/>
          <w:shd w:val="clear" w:color="auto" w:fill="FFFFFF"/>
        </w:rPr>
        <w:t xml:space="preserve"> perlu pengkajian ulang atas Undang-Undang Nomor 17 Tahun 2012 tentang Perlindungan Anak, dan PP Nomor 70 Tahun 2020 tersebut.</w:t>
      </w:r>
      <w:r w:rsidR="00BE4A9C" w:rsidRPr="00A63C06">
        <w:rPr>
          <w:rFonts w:ascii="Book Antiqua" w:hAnsi="Book Antiqua" w:cs="Arial"/>
          <w:color w:val="2A2A2A"/>
          <w:shd w:val="clear" w:color="auto" w:fill="FFFFFF"/>
        </w:rPr>
        <w:t xml:space="preserve"> </w:t>
      </w:r>
      <w:r w:rsidR="00BE4A9C" w:rsidRPr="00A63C06">
        <w:rPr>
          <w:rFonts w:ascii="Book Antiqua" w:hAnsi="Book Antiqua" w:cs="Times New Roman"/>
          <w:shd w:val="clear" w:color="auto" w:fill="FFFFFF"/>
        </w:rPr>
        <w:t xml:space="preserve">Sebab, dalam PP tersebut pelaku tidak hanya dihukum berupa kebiri kimia, tetapi juga dilakukan tindakan pemasangan alat </w:t>
      </w:r>
      <w:r w:rsidR="00BE4A9C" w:rsidRPr="00A63C06">
        <w:rPr>
          <w:rFonts w:ascii="Book Antiqua" w:hAnsi="Book Antiqua" w:cs="Times New Roman"/>
          <w:shd w:val="clear" w:color="auto" w:fill="FFFFFF"/>
        </w:rPr>
        <w:lastRenderedPageBreak/>
        <w:t>pendeteksi elektronik dan rehabilitasi.</w:t>
      </w:r>
      <w:r w:rsidR="00BE4A9C" w:rsidRPr="00A63C06">
        <w:rPr>
          <w:rStyle w:val="FootnoteReference"/>
          <w:rFonts w:ascii="Book Antiqua" w:hAnsi="Book Antiqua" w:cs="Times New Roman"/>
          <w:shd w:val="clear" w:color="auto" w:fill="FFFFFF"/>
        </w:rPr>
        <w:footnoteReference w:id="2"/>
      </w:r>
      <w:r w:rsidR="000E1B0D">
        <w:rPr>
          <w:rFonts w:ascii="Book Antiqua" w:hAnsi="Book Antiqua" w:cs="Segoe UI"/>
          <w:color w:val="464646"/>
          <w:shd w:val="clear" w:color="auto" w:fill="FFFFFF"/>
        </w:rPr>
        <w:t xml:space="preserve"> </w:t>
      </w:r>
      <w:r w:rsidR="00443568" w:rsidRPr="00A63C06">
        <w:rPr>
          <w:rFonts w:ascii="Book Antiqua" w:hAnsi="Book Antiqua" w:cs="Times New Roman"/>
          <w:shd w:val="clear" w:color="auto" w:fill="FFFFFF"/>
        </w:rPr>
        <w:t>Komnas HAM RI melalui Komisioner</w:t>
      </w:r>
      <w:r w:rsidR="000E1B0D">
        <w:rPr>
          <w:rFonts w:ascii="Book Antiqua" w:hAnsi="Book Antiqua" w:cs="Times New Roman"/>
          <w:shd w:val="clear" w:color="auto" w:fill="FFFFFF"/>
        </w:rPr>
        <w:t xml:space="preserve"> Pengkajian dan Penelitian </w:t>
      </w:r>
      <w:r w:rsidR="00443568" w:rsidRPr="00A63C06">
        <w:rPr>
          <w:rFonts w:ascii="Book Antiqua" w:hAnsi="Book Antiqua" w:cs="Times New Roman"/>
          <w:shd w:val="clear" w:color="auto" w:fill="FFFFFF"/>
        </w:rPr>
        <w:t>mengungkapkan bahwa pemberian hukuman dengan cara pengebirian dapat dikualifikasikan sebagai penghukuman yang keji dan tidak manusiawi. Hal tersebut tidak sesuai dengan UUD 1945 pasal 28G (2) jo. UU Nomor 5 tahun 1998 tentang Pengesahan </w:t>
      </w:r>
      <w:r w:rsidR="00443568" w:rsidRPr="00A63C06">
        <w:rPr>
          <w:rFonts w:ascii="Book Antiqua" w:hAnsi="Book Antiqua" w:cs="Times New Roman"/>
          <w:i/>
          <w:iCs/>
          <w:shd w:val="clear" w:color="auto" w:fill="FFFFFF"/>
        </w:rPr>
        <w:t>Convention Against Torture and Other Cruel, Inhuman or Degrading Treatment or Punishment </w:t>
      </w:r>
      <w:r w:rsidR="00443568" w:rsidRPr="00A63C06">
        <w:rPr>
          <w:rFonts w:ascii="Book Antiqua" w:hAnsi="Book Antiqua" w:cs="Times New Roman"/>
          <w:shd w:val="clear" w:color="auto" w:fill="FFFFFF"/>
        </w:rPr>
        <w:t xml:space="preserve">(Konvensi Menentang Penyiksaan dan Perlakuan atau Penghukuman lain yang Kejam, Tidak Manusiawi atau Merendahkan Martabat Manusia). Hal tersebut juga masuk dalam pelanggaran hak atas persetujuan medis. Kekerasan seksual, menurutnya, tidak hanya bersifat medis, akan tetapi juga psikologis dan sosial. </w:t>
      </w:r>
      <w:r w:rsidR="00E660BC" w:rsidRPr="00A63C06">
        <w:rPr>
          <w:rFonts w:ascii="Book Antiqua" w:hAnsi="Book Antiqua" w:cs="Times New Roman"/>
          <w:shd w:val="clear" w:color="auto" w:fill="FFFFFF"/>
        </w:rPr>
        <w:t>Komisioner Komisi Perlindungan Anak Indonesia (KPAI), mengungkapkan bahwa hak anak merupakan bagian dari hak asasi manusia. Sejak tahun 2016 saat aturan tersebut diundangkan, sampai dengan 2020 jika dilihat dari dinamika kasus, kasus kekerasan seksual terhadap anak tidak menurun. Menurutnya hal tersebut mengindikasikan Undang-Undang tersebut tidak memiliki sumbangsih terhadap penurunan kekerasan seksual terhadap anak, sehingga perlu telaah yang lebih komprehensif untuk penerapan sanksi tersebut</w:t>
      </w:r>
      <w:r w:rsidR="00170BA7" w:rsidRPr="00A63C06">
        <w:rPr>
          <w:rStyle w:val="FootnoteReference"/>
          <w:rFonts w:ascii="Book Antiqua" w:hAnsi="Book Antiqua" w:cs="Times New Roman"/>
          <w:shd w:val="clear" w:color="auto" w:fill="FFFFFF"/>
        </w:rPr>
        <w:footnoteReference w:id="3"/>
      </w:r>
      <w:r w:rsidR="00E660BC" w:rsidRPr="00A63C06">
        <w:rPr>
          <w:rFonts w:ascii="Book Antiqua" w:hAnsi="Book Antiqua" w:cs="Times New Roman"/>
          <w:shd w:val="clear" w:color="auto" w:fill="FFFFFF"/>
        </w:rPr>
        <w:t>.</w:t>
      </w:r>
    </w:p>
    <w:p w:rsidR="009D7840" w:rsidRDefault="00293942" w:rsidP="000C6C9B">
      <w:pPr>
        <w:spacing w:after="0" w:line="240" w:lineRule="auto"/>
        <w:ind w:firstLine="720"/>
        <w:jc w:val="both"/>
        <w:rPr>
          <w:rFonts w:ascii="Book Antiqua" w:hAnsi="Book Antiqua" w:cs="Times New Roman"/>
          <w:shd w:val="clear" w:color="auto" w:fill="FFFFFF"/>
        </w:rPr>
      </w:pPr>
      <w:r>
        <w:rPr>
          <w:rFonts w:ascii="Book Antiqua" w:hAnsi="Book Antiqua" w:cs="Times New Roman"/>
          <w:shd w:val="clear" w:color="auto" w:fill="FFFFFF"/>
        </w:rPr>
        <w:t>Sanksi</w:t>
      </w:r>
      <w:r w:rsidRPr="00293942">
        <w:rPr>
          <w:rFonts w:ascii="Book Antiqua" w:hAnsi="Book Antiqua" w:cs="Times New Roman"/>
          <w:shd w:val="clear" w:color="auto" w:fill="FFFFFF"/>
        </w:rPr>
        <w:t xml:space="preserve">  kebiri </w:t>
      </w:r>
      <w:r>
        <w:rPr>
          <w:rFonts w:ascii="Book Antiqua" w:hAnsi="Book Antiqua" w:cs="Times New Roman"/>
          <w:shd w:val="clear" w:color="auto" w:fill="FFFFFF"/>
        </w:rPr>
        <w:t xml:space="preserve">kimia di satu sisi </w:t>
      </w:r>
      <w:r w:rsidRPr="00293942">
        <w:rPr>
          <w:rFonts w:ascii="Book Antiqua" w:hAnsi="Book Antiqua" w:cs="Times New Roman"/>
          <w:shd w:val="clear" w:color="auto" w:fill="FFFFFF"/>
        </w:rPr>
        <w:t xml:space="preserve">diharapkan  mampu  memberikan  efek  </w:t>
      </w:r>
      <w:r w:rsidRPr="00293942">
        <w:rPr>
          <w:rFonts w:ascii="Book Antiqua" w:hAnsi="Book Antiqua" w:cs="Times New Roman"/>
          <w:shd w:val="clear" w:color="auto" w:fill="FFFFFF"/>
        </w:rPr>
        <w:lastRenderedPageBreak/>
        <w:t xml:space="preserve">jera  </w:t>
      </w:r>
      <w:r w:rsidR="009D7840">
        <w:rPr>
          <w:rFonts w:ascii="Book Antiqua" w:hAnsi="Book Antiqua" w:cs="Times New Roman"/>
          <w:shd w:val="clear" w:color="auto" w:fill="FFFFFF"/>
        </w:rPr>
        <w:t>serta</w:t>
      </w:r>
      <w:r w:rsidRPr="00293942">
        <w:rPr>
          <w:rFonts w:ascii="Book Antiqua" w:hAnsi="Book Antiqua" w:cs="Times New Roman"/>
          <w:shd w:val="clear" w:color="auto" w:fill="FFFFFF"/>
        </w:rPr>
        <w:t xml:space="preserve">  pencegahan  kepada  pelaku,  </w:t>
      </w:r>
      <w:r w:rsidR="009D7840">
        <w:rPr>
          <w:rFonts w:ascii="Book Antiqua" w:hAnsi="Book Antiqua" w:cs="Times New Roman"/>
          <w:shd w:val="clear" w:color="auto" w:fill="FFFFFF"/>
        </w:rPr>
        <w:t>dan</w:t>
      </w:r>
      <w:r w:rsidRPr="00293942">
        <w:rPr>
          <w:rFonts w:ascii="Book Antiqua" w:hAnsi="Book Antiqua" w:cs="Times New Roman"/>
          <w:shd w:val="clear" w:color="auto" w:fill="FFFFFF"/>
        </w:rPr>
        <w:t xml:space="preserve"> dapat mengurangi  tingkat  </w:t>
      </w:r>
      <w:r w:rsidR="009D7840">
        <w:rPr>
          <w:rFonts w:ascii="Book Antiqua" w:hAnsi="Book Antiqua" w:cs="Times New Roman"/>
          <w:shd w:val="clear" w:color="auto" w:fill="FFFFFF"/>
        </w:rPr>
        <w:t>kekerasan</w:t>
      </w:r>
      <w:r w:rsidRPr="00293942">
        <w:rPr>
          <w:rFonts w:ascii="Book Antiqua" w:hAnsi="Book Antiqua" w:cs="Times New Roman"/>
          <w:shd w:val="clear" w:color="auto" w:fill="FFFFFF"/>
        </w:rPr>
        <w:t xml:space="preserve">  seksual  terhadap  anak.  </w:t>
      </w:r>
      <w:r w:rsidR="009D7840">
        <w:rPr>
          <w:rFonts w:ascii="Book Antiqua" w:hAnsi="Book Antiqua" w:cs="Times New Roman"/>
          <w:shd w:val="clear" w:color="auto" w:fill="FFFFFF"/>
        </w:rPr>
        <w:t xml:space="preserve">Akan tetapi </w:t>
      </w:r>
      <w:r w:rsidRPr="00293942">
        <w:rPr>
          <w:rFonts w:ascii="Book Antiqua" w:hAnsi="Book Antiqua" w:cs="Times New Roman"/>
          <w:shd w:val="clear" w:color="auto" w:fill="FFFFFF"/>
        </w:rPr>
        <w:t xml:space="preserve">disisi  lain  </w:t>
      </w:r>
      <w:r>
        <w:rPr>
          <w:rFonts w:ascii="Book Antiqua" w:hAnsi="Book Antiqua" w:cs="Times New Roman"/>
          <w:shd w:val="clear" w:color="auto" w:fill="FFFFFF"/>
        </w:rPr>
        <w:t>sanksi</w:t>
      </w:r>
      <w:r w:rsidRPr="00293942">
        <w:rPr>
          <w:rFonts w:ascii="Book Antiqua" w:hAnsi="Book Antiqua" w:cs="Times New Roman"/>
          <w:shd w:val="clear" w:color="auto" w:fill="FFFFFF"/>
        </w:rPr>
        <w:t xml:space="preserve"> kebiri kimia dianggap </w:t>
      </w:r>
      <w:r w:rsidR="009D7840">
        <w:rPr>
          <w:rFonts w:ascii="Book Antiqua" w:hAnsi="Book Antiqua" w:cs="Times New Roman"/>
          <w:shd w:val="clear" w:color="auto" w:fill="FFFFFF"/>
        </w:rPr>
        <w:t>melanggar</w:t>
      </w:r>
      <w:r w:rsidRPr="00293942">
        <w:rPr>
          <w:rFonts w:ascii="Book Antiqua" w:hAnsi="Book Antiqua" w:cs="Times New Roman"/>
          <w:shd w:val="clear" w:color="auto" w:fill="FFFFFF"/>
        </w:rPr>
        <w:t xml:space="preserve"> Hak Asasi Manusia(HAM).</w:t>
      </w:r>
      <w:r w:rsidR="009D7840">
        <w:rPr>
          <w:rFonts w:ascii="Book Antiqua" w:hAnsi="Book Antiqua" w:cs="Times New Roman"/>
          <w:shd w:val="clear" w:color="auto" w:fill="FFFFFF"/>
        </w:rPr>
        <w:t xml:space="preserve"> </w:t>
      </w:r>
      <w:r w:rsidRPr="00293942">
        <w:rPr>
          <w:rFonts w:ascii="Book Antiqua" w:hAnsi="Book Antiqua" w:cs="Times New Roman"/>
          <w:shd w:val="clear" w:color="auto" w:fill="FFFFFF"/>
        </w:rPr>
        <w:t>Hak Asasi Manusia  pada hakikatnya</w:t>
      </w:r>
      <w:r w:rsidR="009D7840">
        <w:rPr>
          <w:rFonts w:ascii="Book Antiqua" w:hAnsi="Book Antiqua" w:cs="Times New Roman"/>
          <w:shd w:val="clear" w:color="auto" w:fill="FFFFFF"/>
        </w:rPr>
        <w:t xml:space="preserve"> </w:t>
      </w:r>
      <w:r w:rsidRPr="00293942">
        <w:rPr>
          <w:rFonts w:ascii="Book Antiqua" w:hAnsi="Book Antiqua" w:cs="Times New Roman"/>
          <w:shd w:val="clear" w:color="auto" w:fill="FFFFFF"/>
        </w:rPr>
        <w:t>merupakan hak yang paling dasar yang dimiliki oleh semua umat  manusia  sebagai anugerah</w:t>
      </w:r>
      <w:r w:rsidR="009D7840">
        <w:rPr>
          <w:rFonts w:ascii="Book Antiqua" w:hAnsi="Book Antiqua" w:cs="Times New Roman"/>
          <w:shd w:val="clear" w:color="auto" w:fill="FFFFFF"/>
        </w:rPr>
        <w:t xml:space="preserve"> </w:t>
      </w:r>
      <w:r w:rsidRPr="00293942">
        <w:rPr>
          <w:rFonts w:ascii="Book Antiqua" w:hAnsi="Book Antiqua" w:cs="Times New Roman"/>
          <w:shd w:val="clear" w:color="auto" w:fill="FFFFFF"/>
        </w:rPr>
        <w:t>tertinggi  dari  Tuhan  Yang  Maha  Esa,  dimanapun manusia  itu  hidup,  karena  dengan  hak-hak  itu  manusia  dapat  menjadi  makhluk  yang bermartabat.</w:t>
      </w:r>
      <w:r w:rsidR="009D7840">
        <w:rPr>
          <w:rFonts w:ascii="Book Antiqua" w:hAnsi="Book Antiqua" w:cs="Times New Roman"/>
          <w:shd w:val="clear" w:color="auto" w:fill="FFFFFF"/>
        </w:rPr>
        <w:t xml:space="preserve"> Di</w:t>
      </w:r>
      <w:r w:rsidRPr="00293942">
        <w:rPr>
          <w:rFonts w:ascii="Book Antiqua" w:hAnsi="Book Antiqua" w:cs="Times New Roman"/>
          <w:shd w:val="clear" w:color="auto" w:fill="FFFFFF"/>
        </w:rPr>
        <w:t xml:space="preserve"> Konstitusi </w:t>
      </w:r>
      <w:r w:rsidR="009D7840">
        <w:rPr>
          <w:rFonts w:ascii="Book Antiqua" w:hAnsi="Book Antiqua" w:cs="Times New Roman"/>
          <w:shd w:val="clear" w:color="auto" w:fill="FFFFFF"/>
        </w:rPr>
        <w:t>tertulis</w:t>
      </w:r>
      <w:r w:rsidRPr="00293942">
        <w:rPr>
          <w:rFonts w:ascii="Book Antiqua" w:hAnsi="Book Antiqua" w:cs="Times New Roman"/>
          <w:shd w:val="clear" w:color="auto" w:fill="FFFFFF"/>
        </w:rPr>
        <w:t xml:space="preserve"> bahwa Negara tidak </w:t>
      </w:r>
      <w:r w:rsidR="00832A76">
        <w:rPr>
          <w:rFonts w:ascii="Book Antiqua" w:hAnsi="Book Antiqua" w:cs="Times New Roman"/>
          <w:shd w:val="clear" w:color="auto" w:fill="FFFFFF"/>
        </w:rPr>
        <w:t>dapat</w:t>
      </w:r>
      <w:r w:rsidRPr="00293942">
        <w:rPr>
          <w:rFonts w:ascii="Book Antiqua" w:hAnsi="Book Antiqua" w:cs="Times New Roman"/>
          <w:shd w:val="clear" w:color="auto" w:fill="FFFFFF"/>
        </w:rPr>
        <w:t xml:space="preserve"> menghukum manusia  dengan  cara  merendahkan  hak  asasi  dan  nilai  kemanu</w:t>
      </w:r>
      <w:r w:rsidR="009D7840">
        <w:rPr>
          <w:rFonts w:ascii="Book Antiqua" w:hAnsi="Book Antiqua" w:cs="Times New Roman"/>
          <w:shd w:val="clear" w:color="auto" w:fill="FFFFFF"/>
        </w:rPr>
        <w:t>siaan.  K</w:t>
      </w:r>
      <w:r w:rsidRPr="00293942">
        <w:rPr>
          <w:rFonts w:ascii="Book Antiqua" w:hAnsi="Book Antiqua" w:cs="Times New Roman"/>
          <w:shd w:val="clear" w:color="auto" w:fill="FFFFFF"/>
        </w:rPr>
        <w:t>ebiri kimia   dianggap   sebuah   tindakan   kekerasan   dan   dianggap   bertentangan   dengan Undang-Undang Dasar Negara Republik Indonesia</w:t>
      </w:r>
      <w:r w:rsidR="009D7840">
        <w:rPr>
          <w:rFonts w:ascii="Book Antiqua" w:hAnsi="Book Antiqua" w:cs="Times New Roman"/>
          <w:shd w:val="clear" w:color="auto" w:fill="FFFFFF"/>
        </w:rPr>
        <w:t xml:space="preserve"> </w:t>
      </w:r>
      <w:r w:rsidRPr="00293942">
        <w:rPr>
          <w:rFonts w:ascii="Book Antiqua" w:hAnsi="Book Antiqua" w:cs="Times New Roman"/>
          <w:shd w:val="clear" w:color="auto" w:fill="FFFFFF"/>
        </w:rPr>
        <w:t>yakni  hak  untuk  tidak  disiksa,  dan hak   untuk   bebas   dari   penyiksaan   atau   perlakuan   yang   merendahkan   derajat martabatnya  sebagai  manusia. Selain  itu,  pelaksanaan  Kebiri  kimia  hanya  berfokus pada  pembalasan  pel</w:t>
      </w:r>
      <w:r w:rsidR="00832A76">
        <w:rPr>
          <w:rFonts w:ascii="Book Antiqua" w:hAnsi="Book Antiqua" w:cs="Times New Roman"/>
          <w:shd w:val="clear" w:color="auto" w:fill="FFFFFF"/>
        </w:rPr>
        <w:t xml:space="preserve">aku  bukan  kepada  perbaikan. </w:t>
      </w:r>
      <w:r w:rsidR="00310D29">
        <w:rPr>
          <w:rFonts w:ascii="Book Antiqua" w:hAnsi="Book Antiqua" w:cs="Times New Roman"/>
          <w:shd w:val="clear" w:color="auto" w:fill="FFFFFF"/>
        </w:rPr>
        <w:t>Padahal jika di</w:t>
      </w:r>
      <w:r w:rsidR="00832A76" w:rsidRPr="00832A76">
        <w:rPr>
          <w:rFonts w:ascii="Book Antiqua" w:hAnsi="Book Antiqua" w:cs="Times New Roman"/>
          <w:shd w:val="clear" w:color="auto" w:fill="FFFFFF"/>
        </w:rPr>
        <w:t>lihat</w:t>
      </w:r>
      <w:r w:rsidR="00310D29">
        <w:rPr>
          <w:rFonts w:ascii="Book Antiqua" w:hAnsi="Book Antiqua" w:cs="Times New Roman"/>
          <w:shd w:val="clear" w:color="auto" w:fill="FFFFFF"/>
        </w:rPr>
        <w:t xml:space="preserve"> dari perspektif</w:t>
      </w:r>
      <w:r w:rsidR="00832A76" w:rsidRPr="00832A76">
        <w:rPr>
          <w:rFonts w:ascii="Book Antiqua" w:hAnsi="Book Antiqua" w:cs="Times New Roman"/>
          <w:shd w:val="clear" w:color="auto" w:fill="FFFFFF"/>
        </w:rPr>
        <w:t xml:space="preserve"> hak asasi manusia</w:t>
      </w:r>
      <w:r w:rsidR="00310D29">
        <w:rPr>
          <w:rFonts w:ascii="Book Antiqua" w:hAnsi="Book Antiqua" w:cs="Times New Roman"/>
          <w:shd w:val="clear" w:color="auto" w:fill="FFFFFF"/>
        </w:rPr>
        <w:t>, seharusnya</w:t>
      </w:r>
      <w:r w:rsidR="00832A76" w:rsidRPr="00832A76">
        <w:rPr>
          <w:rFonts w:ascii="Book Antiqua" w:hAnsi="Book Antiqua" w:cs="Times New Roman"/>
          <w:shd w:val="clear" w:color="auto" w:fill="FFFFFF"/>
        </w:rPr>
        <w:t xml:space="preserve"> </w:t>
      </w:r>
      <w:r w:rsidR="00310D29">
        <w:rPr>
          <w:rFonts w:ascii="Book Antiqua" w:hAnsi="Book Antiqua" w:cs="Times New Roman"/>
          <w:shd w:val="clear" w:color="auto" w:fill="FFFFFF"/>
        </w:rPr>
        <w:t xml:space="preserve">anak yang menjadi korban kekerasan seksual </w:t>
      </w:r>
      <w:r w:rsidR="00832A76" w:rsidRPr="00832A76">
        <w:rPr>
          <w:rFonts w:ascii="Book Antiqua" w:hAnsi="Book Antiqua" w:cs="Times New Roman"/>
          <w:shd w:val="clear" w:color="auto" w:fill="FFFFFF"/>
        </w:rPr>
        <w:t xml:space="preserve">juga </w:t>
      </w:r>
      <w:r w:rsidR="00310D29">
        <w:rPr>
          <w:rFonts w:ascii="Book Antiqua" w:hAnsi="Book Antiqua" w:cs="Times New Roman"/>
          <w:shd w:val="clear" w:color="auto" w:fill="FFFFFF"/>
        </w:rPr>
        <w:t xml:space="preserve">memiliki </w:t>
      </w:r>
      <w:r w:rsidR="00832A76" w:rsidRPr="00832A76">
        <w:rPr>
          <w:rFonts w:ascii="Book Antiqua" w:hAnsi="Book Antiqua" w:cs="Times New Roman"/>
          <w:shd w:val="clear" w:color="auto" w:fill="FFFFFF"/>
        </w:rPr>
        <w:t xml:space="preserve">hak asasi manusia </w:t>
      </w:r>
      <w:r w:rsidR="001D01DA">
        <w:rPr>
          <w:rFonts w:ascii="Book Antiqua" w:hAnsi="Book Antiqua" w:cs="Times New Roman"/>
          <w:shd w:val="clear" w:color="auto" w:fill="FFFFFF"/>
        </w:rPr>
        <w:t>karena</w:t>
      </w:r>
      <w:r w:rsidR="00832A76" w:rsidRPr="00832A76">
        <w:rPr>
          <w:rFonts w:ascii="Book Antiqua" w:hAnsi="Book Antiqua" w:cs="Times New Roman"/>
          <w:shd w:val="clear" w:color="auto" w:fill="FFFFFF"/>
        </w:rPr>
        <w:t xml:space="preserve"> mengalami trauma yang berkepanjangan dan juga dapat menyebabkan kematian dari kekerasan seksual yang dilakukan oleh pelaku ter</w:t>
      </w:r>
      <w:r w:rsidR="001D01DA">
        <w:rPr>
          <w:rFonts w:ascii="Book Antiqua" w:hAnsi="Book Antiqua" w:cs="Times New Roman"/>
          <w:shd w:val="clear" w:color="auto" w:fill="FFFFFF"/>
        </w:rPr>
        <w:t>sebut.</w:t>
      </w:r>
    </w:p>
    <w:p w:rsidR="00280857" w:rsidRPr="00A63C06" w:rsidRDefault="00C74494" w:rsidP="000C6C9B">
      <w:pPr>
        <w:spacing w:after="0" w:line="240" w:lineRule="auto"/>
        <w:ind w:firstLine="720"/>
        <w:jc w:val="both"/>
        <w:rPr>
          <w:rFonts w:ascii="Book Antiqua" w:hAnsi="Book Antiqua" w:cs="Times New Roman"/>
        </w:rPr>
      </w:pPr>
      <w:r w:rsidRPr="00A63C06">
        <w:rPr>
          <w:rFonts w:ascii="Book Antiqua" w:hAnsi="Book Antiqua" w:cs="Times New Roman"/>
        </w:rPr>
        <w:t xml:space="preserve">Penetapan jenis sanksi dalam pidana tidak terlepas dari masalah tujuan yang akan dicapai dalam pemidanaan. Dengan kata lain, rumusan pemidanaan ditujukan untuk dapat membedakan sekaligus mengukur sejauh mana jenis sanksi, baik yang berupa pidana maupun tindakan yang ditetapkan pada tahap kebijakan legislasi itu dapat mencapai tujuan secara efektif. Meski jenis sanksi untuk setiap bentuk kejahatan berbeda-beda, namun yang jelas semua penerapan sanksi dalam </w:t>
      </w:r>
      <w:r w:rsidRPr="00A63C06">
        <w:rPr>
          <w:rFonts w:ascii="Book Antiqua" w:hAnsi="Book Antiqua" w:cs="Times New Roman"/>
        </w:rPr>
        <w:lastRenderedPageBreak/>
        <w:t>hukum pidana harus tetap berorientasi pada tujuan pemidanaan itu sendiri.</w:t>
      </w:r>
      <w:r w:rsidRPr="00A63C06">
        <w:rPr>
          <w:rStyle w:val="FootnoteReference"/>
          <w:rFonts w:ascii="Book Antiqua" w:hAnsi="Book Antiqua" w:cs="Times New Roman"/>
        </w:rPr>
        <w:footnoteReference w:id="4"/>
      </w:r>
    </w:p>
    <w:p w:rsidR="00280857" w:rsidRPr="00A63C06" w:rsidRDefault="00280857" w:rsidP="000C6C9B">
      <w:pPr>
        <w:spacing w:after="0" w:line="240" w:lineRule="auto"/>
        <w:jc w:val="both"/>
        <w:rPr>
          <w:rFonts w:ascii="Book Antiqua" w:hAnsi="Book Antiqua" w:cs="Times New Roman"/>
          <w:b/>
        </w:rPr>
      </w:pPr>
    </w:p>
    <w:p w:rsidR="00280857" w:rsidRPr="00A63C06" w:rsidRDefault="00280857" w:rsidP="000C6C9B">
      <w:pPr>
        <w:spacing w:after="0" w:line="240" w:lineRule="auto"/>
        <w:jc w:val="both"/>
        <w:rPr>
          <w:rFonts w:ascii="Book Antiqua" w:hAnsi="Book Antiqua" w:cs="Times New Roman"/>
          <w:b/>
        </w:rPr>
      </w:pPr>
      <w:r w:rsidRPr="00A63C06">
        <w:rPr>
          <w:rFonts w:ascii="Book Antiqua" w:hAnsi="Book Antiqua" w:cs="Times New Roman"/>
          <w:b/>
        </w:rPr>
        <w:t>Metode Penelitian</w:t>
      </w:r>
    </w:p>
    <w:p w:rsidR="00280857" w:rsidRPr="00A63C06" w:rsidRDefault="00280857" w:rsidP="000C6C9B">
      <w:pPr>
        <w:spacing w:after="0" w:line="240" w:lineRule="auto"/>
        <w:jc w:val="both"/>
        <w:rPr>
          <w:rFonts w:ascii="Book Antiqua" w:hAnsi="Book Antiqua" w:cs="Times New Roman"/>
        </w:rPr>
      </w:pPr>
    </w:p>
    <w:p w:rsidR="00280857" w:rsidRPr="00A63C06" w:rsidRDefault="00A3266C" w:rsidP="000C6C9B">
      <w:pPr>
        <w:spacing w:after="0" w:line="240" w:lineRule="auto"/>
        <w:jc w:val="both"/>
        <w:rPr>
          <w:rFonts w:ascii="Book Antiqua" w:hAnsi="Book Antiqua" w:cs="Times New Roman"/>
        </w:rPr>
      </w:pPr>
      <w:r w:rsidRPr="00A3266C">
        <w:rPr>
          <w:rFonts w:ascii="Book Antiqua" w:hAnsi="Book Antiqua" w:cs="Times New Roman"/>
        </w:rPr>
        <w:t>Jenis penelitian ini menggunakan j</w:t>
      </w:r>
      <w:r>
        <w:rPr>
          <w:rFonts w:ascii="Book Antiqua" w:hAnsi="Book Antiqua" w:cs="Times New Roman"/>
        </w:rPr>
        <w:t xml:space="preserve">enis penelitian hukum normatif, </w:t>
      </w:r>
      <w:r w:rsidRPr="00A3266C">
        <w:rPr>
          <w:rFonts w:ascii="Book Antiqua" w:hAnsi="Book Antiqua" w:cs="Times New Roman"/>
        </w:rPr>
        <w:t xml:space="preserve">penelitian hukum normatif adalah </w:t>
      </w:r>
      <w:r>
        <w:rPr>
          <w:rFonts w:ascii="Book Antiqua" w:hAnsi="Book Antiqua" w:cs="Times New Roman"/>
        </w:rPr>
        <w:t xml:space="preserve">penelitian yang dilakukan untuk </w:t>
      </w:r>
      <w:r w:rsidRPr="00A3266C">
        <w:rPr>
          <w:rFonts w:ascii="Book Antiqua" w:hAnsi="Book Antiqua" w:cs="Times New Roman"/>
        </w:rPr>
        <w:t>mengumpulkan dan menganalisis data sekund</w:t>
      </w:r>
      <w:r>
        <w:rPr>
          <w:rFonts w:ascii="Book Antiqua" w:hAnsi="Book Antiqua" w:cs="Times New Roman"/>
        </w:rPr>
        <w:t xml:space="preserve">er. Dalam penelitian hukum yang </w:t>
      </w:r>
      <w:r w:rsidRPr="00A3266C">
        <w:rPr>
          <w:rFonts w:ascii="Book Antiqua" w:hAnsi="Book Antiqua" w:cs="Times New Roman"/>
        </w:rPr>
        <w:t>normatif biasanya hanya dipergunakan sumber-s</w:t>
      </w:r>
      <w:r>
        <w:rPr>
          <w:rFonts w:ascii="Book Antiqua" w:hAnsi="Book Antiqua" w:cs="Times New Roman"/>
        </w:rPr>
        <w:t xml:space="preserve">umber data sekunder saja, yaitu </w:t>
      </w:r>
      <w:r w:rsidRPr="00A3266C">
        <w:rPr>
          <w:rFonts w:ascii="Book Antiqua" w:hAnsi="Book Antiqua" w:cs="Times New Roman"/>
        </w:rPr>
        <w:t>buku-buku, buku-buku harian, peraturan perundang-undangan, keputusan</w:t>
      </w:r>
      <w:r w:rsidR="00107491">
        <w:rPr>
          <w:rFonts w:ascii="Book Antiqua" w:hAnsi="Book Antiqua" w:cs="Times New Roman"/>
        </w:rPr>
        <w:t xml:space="preserve"> </w:t>
      </w:r>
      <w:r w:rsidRPr="00A3266C">
        <w:rPr>
          <w:rFonts w:ascii="Book Antiqua" w:hAnsi="Book Antiqua" w:cs="Times New Roman"/>
        </w:rPr>
        <w:t xml:space="preserve">keputusan pengadilan, teori-teori hukum </w:t>
      </w:r>
      <w:r>
        <w:rPr>
          <w:rFonts w:ascii="Book Antiqua" w:hAnsi="Book Antiqua" w:cs="Times New Roman"/>
        </w:rPr>
        <w:t>dan pendapat para sarjana hukum terkemuka.</w:t>
      </w:r>
      <w:r>
        <w:rPr>
          <w:rStyle w:val="FootnoteReference"/>
          <w:rFonts w:ascii="Book Antiqua" w:hAnsi="Book Antiqua" w:cs="Times New Roman"/>
        </w:rPr>
        <w:footnoteReference w:id="5"/>
      </w:r>
    </w:p>
    <w:p w:rsidR="00280857" w:rsidRPr="00A63C06" w:rsidRDefault="00280857" w:rsidP="000C6C9B">
      <w:pPr>
        <w:spacing w:after="0" w:line="240" w:lineRule="auto"/>
        <w:jc w:val="both"/>
        <w:rPr>
          <w:rFonts w:ascii="Book Antiqua" w:hAnsi="Book Antiqua" w:cs="Times New Roman"/>
        </w:rPr>
      </w:pPr>
    </w:p>
    <w:p w:rsidR="00280857" w:rsidRPr="00A63C06" w:rsidRDefault="00280857" w:rsidP="000C6C9B">
      <w:pPr>
        <w:spacing w:after="0" w:line="240" w:lineRule="auto"/>
        <w:jc w:val="both"/>
        <w:rPr>
          <w:rFonts w:ascii="Book Antiqua" w:hAnsi="Book Antiqua" w:cs="Times New Roman"/>
          <w:b/>
        </w:rPr>
      </w:pPr>
      <w:r w:rsidRPr="00A63C06">
        <w:rPr>
          <w:rFonts w:ascii="Book Antiqua" w:hAnsi="Book Antiqua" w:cs="Times New Roman"/>
          <w:b/>
        </w:rPr>
        <w:t>Sanksi Tindakan Kebiri Kimia di Tinjau dari Perspektif HAM dan Tujuan Pemidanaan</w:t>
      </w:r>
    </w:p>
    <w:p w:rsidR="00EB1EE4" w:rsidRPr="00A63C06" w:rsidRDefault="00EB1EE4" w:rsidP="000C6C9B">
      <w:pPr>
        <w:spacing w:after="0" w:line="240" w:lineRule="auto"/>
        <w:jc w:val="both"/>
        <w:rPr>
          <w:rFonts w:ascii="Book Antiqua" w:hAnsi="Book Antiqua" w:cs="Times New Roman"/>
          <w:b/>
        </w:rPr>
      </w:pPr>
    </w:p>
    <w:p w:rsidR="00EB1EE4" w:rsidRPr="00A63C06" w:rsidRDefault="00EB1EE4" w:rsidP="000C6C9B">
      <w:pPr>
        <w:spacing w:after="0" w:line="240" w:lineRule="auto"/>
        <w:ind w:firstLine="360"/>
        <w:jc w:val="both"/>
        <w:rPr>
          <w:rFonts w:ascii="Book Antiqua" w:hAnsi="Book Antiqua" w:cs="Times New Roman"/>
        </w:rPr>
      </w:pPr>
      <w:r w:rsidRPr="00A63C06">
        <w:rPr>
          <w:rFonts w:ascii="Book Antiqua" w:hAnsi="Book Antiqua" w:cs="Times New Roman"/>
        </w:rPr>
        <w:t>I</w:t>
      </w:r>
      <w:r w:rsidR="00DF3157" w:rsidRPr="00A63C06">
        <w:rPr>
          <w:rFonts w:ascii="Book Antiqua" w:hAnsi="Book Antiqua" w:cs="Times New Roman"/>
        </w:rPr>
        <w:t xml:space="preserve">stilah HAM dikenal dalam berbagai bahasa asing, antara lain, seperti: </w:t>
      </w:r>
      <w:r w:rsidR="00DF3157" w:rsidRPr="00A63C06">
        <w:rPr>
          <w:rFonts w:ascii="Book Antiqua" w:hAnsi="Book Antiqua" w:cs="Times New Roman"/>
          <w:i/>
        </w:rPr>
        <w:t xml:space="preserve">human rights, fundamental rights, des droits de l’homme, the rights of man, basic rights. </w:t>
      </w:r>
      <w:r w:rsidR="00DF3157" w:rsidRPr="00A63C06">
        <w:rPr>
          <w:rFonts w:ascii="Book Antiqua" w:hAnsi="Book Antiqua" w:cs="Times New Roman"/>
        </w:rPr>
        <w:t>Seluruh istilah tersebut secara substansial adalah sama, hanya pristilahannya saja yang berbeda. Hingga saat ini belum ada definisi HAM yang bersifat baku dan mengikat. B</w:t>
      </w:r>
      <w:r w:rsidR="00C81E59">
        <w:rPr>
          <w:rFonts w:ascii="Book Antiqua" w:hAnsi="Book Antiqua" w:cs="Times New Roman"/>
        </w:rPr>
        <w:t>e</w:t>
      </w:r>
      <w:r w:rsidR="00DF3157" w:rsidRPr="00A63C06">
        <w:rPr>
          <w:rFonts w:ascii="Book Antiqua" w:hAnsi="Book Antiqua" w:cs="Times New Roman"/>
        </w:rPr>
        <w:t>berapa definisi yang dikenal, antara lain:</w:t>
      </w:r>
    </w:p>
    <w:p w:rsidR="00EB1EE4" w:rsidRPr="00A63C06" w:rsidRDefault="00DF3157" w:rsidP="000C6C9B">
      <w:pPr>
        <w:pStyle w:val="ListParagraph"/>
        <w:numPr>
          <w:ilvl w:val="0"/>
          <w:numId w:val="2"/>
        </w:numPr>
        <w:spacing w:after="0" w:line="240" w:lineRule="auto"/>
        <w:ind w:left="284" w:hanging="284"/>
        <w:jc w:val="both"/>
        <w:rPr>
          <w:rFonts w:ascii="Book Antiqua" w:hAnsi="Book Antiqua" w:cs="Times New Roman"/>
        </w:rPr>
      </w:pPr>
      <w:r w:rsidRPr="00A63C06">
        <w:rPr>
          <w:rFonts w:ascii="Book Antiqua" w:hAnsi="Book Antiqua" w:cs="Times New Roman"/>
        </w:rPr>
        <w:t>Jan Materson:</w:t>
      </w:r>
    </w:p>
    <w:p w:rsidR="000E1B0D" w:rsidRDefault="00DF3157" w:rsidP="000C6C9B">
      <w:pPr>
        <w:pStyle w:val="ListParagraph"/>
        <w:spacing w:after="0" w:line="240" w:lineRule="auto"/>
        <w:ind w:left="0"/>
        <w:jc w:val="both"/>
        <w:rPr>
          <w:rFonts w:ascii="Book Antiqua" w:hAnsi="Book Antiqua" w:cs="Times New Roman"/>
          <w:i/>
        </w:rPr>
      </w:pPr>
      <w:r w:rsidRPr="00A63C06">
        <w:rPr>
          <w:rFonts w:ascii="Book Antiqua" w:hAnsi="Book Antiqua" w:cs="Times New Roman"/>
          <w:i/>
        </w:rPr>
        <w:t>“Human rights could be generally defined as those rights which are inherent in our nature and without which we cannot live as human beings.</w:t>
      </w:r>
    </w:p>
    <w:p w:rsidR="00EB1EE4" w:rsidRPr="000E1B0D" w:rsidRDefault="000E1B0D" w:rsidP="000C6C9B">
      <w:pPr>
        <w:pStyle w:val="ListParagraph"/>
        <w:spacing w:after="0" w:line="240" w:lineRule="auto"/>
        <w:ind w:left="0"/>
        <w:jc w:val="both"/>
        <w:rPr>
          <w:rFonts w:ascii="Book Antiqua" w:hAnsi="Book Antiqua" w:cs="Times New Roman"/>
          <w:i/>
        </w:rPr>
      </w:pPr>
      <w:r>
        <w:rPr>
          <w:rFonts w:ascii="Book Antiqua" w:hAnsi="Book Antiqua" w:cs="Times New Roman"/>
          <w:i/>
        </w:rPr>
        <w:t xml:space="preserve">2. </w:t>
      </w:r>
      <w:r w:rsidR="00DF3157" w:rsidRPr="000E1B0D">
        <w:rPr>
          <w:rFonts w:ascii="Book Antiqua" w:hAnsi="Book Antiqua" w:cs="Times New Roman"/>
        </w:rPr>
        <w:t>Peter R. Baehr:</w:t>
      </w:r>
    </w:p>
    <w:p w:rsidR="00EB1EE4" w:rsidRPr="00A63C06" w:rsidRDefault="00DF3157" w:rsidP="000C6C9B">
      <w:pPr>
        <w:pStyle w:val="ListParagraph"/>
        <w:spacing w:after="0" w:line="240" w:lineRule="auto"/>
        <w:ind w:left="0"/>
        <w:jc w:val="both"/>
        <w:rPr>
          <w:rFonts w:ascii="Book Antiqua" w:hAnsi="Book Antiqua" w:cs="Times New Roman"/>
          <w:i/>
        </w:rPr>
      </w:pPr>
      <w:r w:rsidRPr="00A63C06">
        <w:rPr>
          <w:rFonts w:ascii="Book Antiqua" w:hAnsi="Book Antiqua" w:cs="Times New Roman"/>
          <w:i/>
        </w:rPr>
        <w:t>“Human rights are internationally agreed values, standards or rules regulating the conduct of    states towards their own citizens and towards non citizens.”</w:t>
      </w:r>
    </w:p>
    <w:p w:rsidR="00EB1EE4" w:rsidRPr="000E1B0D" w:rsidRDefault="000E1B0D" w:rsidP="000C6C9B">
      <w:pPr>
        <w:spacing w:after="0" w:line="240" w:lineRule="auto"/>
        <w:jc w:val="both"/>
        <w:rPr>
          <w:rFonts w:ascii="Book Antiqua" w:hAnsi="Book Antiqua" w:cs="Times New Roman"/>
        </w:rPr>
      </w:pPr>
      <w:r>
        <w:rPr>
          <w:rFonts w:ascii="Book Antiqua" w:hAnsi="Book Antiqua" w:cs="Times New Roman"/>
        </w:rPr>
        <w:lastRenderedPageBreak/>
        <w:t xml:space="preserve">3. </w:t>
      </w:r>
      <w:r w:rsidR="00EB1EE4" w:rsidRPr="000E1B0D">
        <w:rPr>
          <w:rFonts w:ascii="Book Antiqua" w:hAnsi="Book Antiqua" w:cs="Times New Roman"/>
        </w:rPr>
        <w:t>Pasal 1 angka 1 Undang-undang No.39 Tahun 1999 Tentang HAM dan Pasal 1 angka 1 Undang-undang No.26 Tahun 2000 Tentang Pengadilan HAM:</w:t>
      </w:r>
    </w:p>
    <w:p w:rsidR="00EB1EE4" w:rsidRPr="00A63C06" w:rsidRDefault="00EB1EE4" w:rsidP="000C6C9B">
      <w:pPr>
        <w:pStyle w:val="ListParagraph"/>
        <w:spacing w:after="0" w:line="240" w:lineRule="auto"/>
        <w:ind w:left="0"/>
        <w:jc w:val="both"/>
        <w:rPr>
          <w:rFonts w:ascii="Book Antiqua" w:hAnsi="Book Antiqua" w:cs="Times New Roman"/>
          <w:i/>
        </w:rPr>
      </w:pPr>
      <w:r w:rsidRPr="00A63C06">
        <w:rPr>
          <w:rFonts w:ascii="Book Antiqua" w:hAnsi="Book Antiqua" w:cs="Times New Roman"/>
        </w:rPr>
        <w:t>“</w:t>
      </w:r>
      <w:r w:rsidRPr="00A63C06">
        <w:rPr>
          <w:rFonts w:ascii="Book Antiqua" w:hAnsi="Book Antiqua" w:cs="Times New Roman"/>
          <w:i/>
        </w:rPr>
        <w:t>HAM adalah seperangkat hak yang melekat pada hakikat dan keberadaan manusia sebagai makhluk Tuhan Yang Maha Esa dan Merupakan anugerah-Nya yang wajib dihormati, dijunjung tinggi dan dilindungi oleh negara, hukum, pemerintah dan setiap orang demi kehormatan serta perlindungan harkat dan martabat manusia.”</w:t>
      </w:r>
    </w:p>
    <w:p w:rsidR="00803173" w:rsidRPr="00803173" w:rsidRDefault="00EB1EE4" w:rsidP="000C6C9B">
      <w:pPr>
        <w:spacing w:after="0" w:line="240" w:lineRule="auto"/>
        <w:jc w:val="both"/>
        <w:rPr>
          <w:rFonts w:ascii="Book Antiqua" w:hAnsi="Book Antiqua" w:cs="Times New Roman"/>
        </w:rPr>
      </w:pPr>
      <w:r w:rsidRPr="00A63C06">
        <w:rPr>
          <w:rFonts w:ascii="Book Antiqua" w:hAnsi="Book Antiqua" w:cs="Times New Roman"/>
        </w:rPr>
        <w:t xml:space="preserve">Berdasarkan beberapa definisi di atas dapat disimpulkan bahwa HAM bersifat melekat </w:t>
      </w:r>
      <w:r w:rsidRPr="00C81E59">
        <w:rPr>
          <w:rFonts w:ascii="Book Antiqua" w:hAnsi="Book Antiqua" w:cs="Times New Roman"/>
          <w:i/>
        </w:rPr>
        <w:t>(inherent</w:t>
      </w:r>
      <w:r w:rsidRPr="00A63C06">
        <w:rPr>
          <w:rFonts w:ascii="Book Antiqua" w:hAnsi="Book Antiqua" w:cs="Times New Roman"/>
        </w:rPr>
        <w:t>) pada diri setiap manusia, artinya HAM merupakan karunia dari Tuhan dan bukan pemb</w:t>
      </w:r>
      <w:r w:rsidR="00C81E59">
        <w:rPr>
          <w:rFonts w:ascii="Book Antiqua" w:hAnsi="Book Antiqua" w:cs="Times New Roman"/>
        </w:rPr>
        <w:t>e</w:t>
      </w:r>
      <w:r w:rsidRPr="00A63C06">
        <w:rPr>
          <w:rFonts w:ascii="Book Antiqua" w:hAnsi="Book Antiqua" w:cs="Times New Roman"/>
        </w:rPr>
        <w:t>rian dari manusia, penguasa ataupun negara. HAM juga bersifat universal, artinya eksistensi HAM tidak dibatasi oleh batas-batas geografis atau dengan perkataan lain HAM ada di mana ada manusia.</w:t>
      </w:r>
      <w:r w:rsidR="00C81E59">
        <w:rPr>
          <w:rStyle w:val="FootnoteReference"/>
          <w:rFonts w:ascii="Book Antiqua" w:hAnsi="Book Antiqua" w:cs="Times New Roman"/>
        </w:rPr>
        <w:footnoteReference w:id="6"/>
      </w:r>
      <w:r w:rsidR="00622B45" w:rsidRPr="00622B45">
        <w:rPr>
          <w:rFonts w:ascii="Book Antiqua" w:hAnsi="Book Antiqua" w:cs="Times New Roman"/>
        </w:rPr>
        <w:t xml:space="preserve"> </w:t>
      </w:r>
      <w:r w:rsidR="00622B45">
        <w:rPr>
          <w:rFonts w:ascii="Book Antiqua" w:hAnsi="Book Antiqua" w:cs="Times New Roman"/>
        </w:rPr>
        <w:t>Konsep HAM di Indonesia bukan saja terhadap hak-hak mendasar manusia, tetapi ada kewajiban dasar manusia sebagai warga negara untuk mematuhi peraturan perundang-undangan hukum tidak tertulis, menghormati HAM orang lain, moral, etika, patuh pada hukum Internasional mengenai HAM yang telah diterima bangsa Indonesia, juga wajib membela negara. Sedangkan kewajiban bagi pemerintah untuk menghormati, melindungi, menegakkan, dan memajukan HAM yang telah diatur berdasarkan peraturan perundangan dan hukum internasional HAM yang diterima oleh Indonesia.</w:t>
      </w:r>
      <w:r w:rsidR="00622B45">
        <w:rPr>
          <w:rStyle w:val="FootnoteReference"/>
          <w:rFonts w:ascii="Book Antiqua" w:hAnsi="Book Antiqua" w:cs="Times New Roman"/>
        </w:rPr>
        <w:footnoteReference w:id="7"/>
      </w:r>
      <w:r w:rsidR="000273A9">
        <w:rPr>
          <w:rFonts w:ascii="Book Antiqua" w:hAnsi="Book Antiqua" w:cs="Times New Roman"/>
        </w:rPr>
        <w:t xml:space="preserve"> </w:t>
      </w:r>
      <w:r w:rsidR="000273A9" w:rsidRPr="000273A9">
        <w:rPr>
          <w:rFonts w:ascii="Book Antiqua" w:hAnsi="Book Antiqua" w:cs="Times New Roman"/>
        </w:rPr>
        <w:t>P</w:t>
      </w:r>
      <w:r w:rsidR="000273A9">
        <w:rPr>
          <w:rFonts w:ascii="Book Antiqua" w:hAnsi="Book Antiqua" w:cs="Times New Roman"/>
        </w:rPr>
        <w:t xml:space="preserve">erserikatan </w:t>
      </w:r>
      <w:r w:rsidR="000273A9" w:rsidRPr="000273A9">
        <w:rPr>
          <w:rFonts w:ascii="Book Antiqua" w:hAnsi="Book Antiqua" w:cs="Times New Roman"/>
        </w:rPr>
        <w:t>B</w:t>
      </w:r>
      <w:r w:rsidR="000273A9">
        <w:rPr>
          <w:rFonts w:ascii="Book Antiqua" w:hAnsi="Book Antiqua" w:cs="Times New Roman"/>
        </w:rPr>
        <w:t>angsa-</w:t>
      </w:r>
      <w:r w:rsidR="000273A9" w:rsidRPr="000273A9">
        <w:rPr>
          <w:rFonts w:ascii="Book Antiqua" w:hAnsi="Book Antiqua" w:cs="Times New Roman"/>
        </w:rPr>
        <w:t>B</w:t>
      </w:r>
      <w:r w:rsidR="000273A9">
        <w:rPr>
          <w:rFonts w:ascii="Book Antiqua" w:hAnsi="Book Antiqua" w:cs="Times New Roman"/>
        </w:rPr>
        <w:t>angsa</w:t>
      </w:r>
      <w:r w:rsidR="000273A9" w:rsidRPr="000273A9">
        <w:rPr>
          <w:rFonts w:ascii="Book Antiqua" w:hAnsi="Book Antiqua" w:cs="Times New Roman"/>
        </w:rPr>
        <w:t xml:space="preserve"> menyatakan bahwa HAM merupakan hak </w:t>
      </w:r>
      <w:r w:rsidR="000273A9">
        <w:rPr>
          <w:rFonts w:ascii="Book Antiqua" w:hAnsi="Book Antiqua" w:cs="Times New Roman"/>
        </w:rPr>
        <w:t xml:space="preserve">yang </w:t>
      </w:r>
      <w:r w:rsidR="000273A9" w:rsidRPr="000273A9">
        <w:rPr>
          <w:rFonts w:ascii="Book Antiqua" w:hAnsi="Book Antiqua" w:cs="Times New Roman"/>
        </w:rPr>
        <w:t xml:space="preserve">universal artinya berlaku </w:t>
      </w:r>
      <w:r w:rsidR="000273A9">
        <w:rPr>
          <w:rFonts w:ascii="Book Antiqua" w:hAnsi="Book Antiqua" w:cs="Times New Roman"/>
        </w:rPr>
        <w:t>kepada</w:t>
      </w:r>
      <w:r w:rsidR="000273A9" w:rsidRPr="000273A9">
        <w:rPr>
          <w:rFonts w:ascii="Book Antiqua" w:hAnsi="Book Antiqua" w:cs="Times New Roman"/>
        </w:rPr>
        <w:t xml:space="preserve"> seluruh manusia, tanpa memandang ras, gender, suku, </w:t>
      </w:r>
      <w:r w:rsidR="000273A9" w:rsidRPr="000273A9">
        <w:rPr>
          <w:rFonts w:ascii="Book Antiqua" w:hAnsi="Book Antiqua" w:cs="Times New Roman"/>
        </w:rPr>
        <w:lastRenderedPageBreak/>
        <w:t>agama, dan lainnya, oleh karena itu perlindungan atas harkat dan martabat hak asasi manusia sangat diperlukan, maka setiap negara wajib memiliki aturan hukum yang melindungi hak</w:t>
      </w:r>
      <w:r w:rsidR="000273A9">
        <w:rPr>
          <w:rFonts w:ascii="Book Antiqua" w:hAnsi="Book Antiqua" w:cs="Times New Roman"/>
        </w:rPr>
        <w:t xml:space="preserve">- </w:t>
      </w:r>
      <w:r w:rsidR="000273A9" w:rsidRPr="000273A9">
        <w:rPr>
          <w:rFonts w:ascii="Book Antiqua" w:hAnsi="Book Antiqua" w:cs="Times New Roman"/>
        </w:rPr>
        <w:t>hak warganegaranya. Di Indonesia, perlindungan terhadap hak asasi manusia terdapat dalam Undang-Undang No. 39 Tahun 1999 tentang Hak Asasi Manusia, dalam Pasal 1 ayat (1) bahwa Hak Asasi Manusia adalah seperangkat hak yang melekat dalam diri manusia sebagai makhluk Tuhan Yang Maha Esa dan merupakan sebuah anugerah dari-Nya, yang wajib untuk dihormati, dijunjung tinggi, dandilindungi oleh negara, hukum, pemerintah, demi kehormatan serta perlindungan harkat dan martabat manusia. Selain dalam Undang-Undang No. 39 Tahun 1999, pengakuan HAM di Indonesia terdapat dalam Undang-Undang Dasar 1945 dalam</w:t>
      </w:r>
      <w:r w:rsidR="00C74766">
        <w:rPr>
          <w:rFonts w:ascii="Book Antiqua" w:hAnsi="Book Antiqua" w:cs="Times New Roman"/>
        </w:rPr>
        <w:t xml:space="preserve"> </w:t>
      </w:r>
      <w:r w:rsidR="000273A9" w:rsidRPr="000273A9">
        <w:rPr>
          <w:rFonts w:ascii="Book Antiqua" w:hAnsi="Book Antiqua" w:cs="Times New Roman"/>
        </w:rPr>
        <w:t>Pasal 27 hingga Pasal 34, maka dalam hal ini perlindungan hak asasi manusia di Indonesia telah memiliki pengaturan hukum</w:t>
      </w:r>
      <w:r w:rsidR="000273A9">
        <w:rPr>
          <w:rFonts w:ascii="Book Antiqua" w:hAnsi="Book Antiqua" w:cs="Times New Roman"/>
        </w:rPr>
        <w:t>.</w:t>
      </w:r>
      <w:r w:rsidR="004651C6">
        <w:rPr>
          <w:rFonts w:ascii="Book Antiqua" w:hAnsi="Book Antiqua" w:cs="Times New Roman"/>
        </w:rPr>
        <w:t xml:space="preserve"> </w:t>
      </w:r>
      <w:r w:rsidR="00A63C06" w:rsidRPr="00A63C06">
        <w:rPr>
          <w:rFonts w:ascii="Book Antiqua" w:hAnsi="Book Antiqua" w:cs="Times New Roman"/>
        </w:rPr>
        <w:t>Undang-Undang Nomor 23 Tahun 2002 tentang Perlindungan Anak sebagaimana telah diubah dengan Undang-Undang Nomor 35 Tahun 2014 tentang Perubahan atas Undang-Undang Nomor 23 Tahun 2002 tentang Perlindungan Anak telah mengatur sanksi pidana bagi pelaku kekerasan seksual terhadap anak namun penjatuhan pidana tersebut belum memberikan efek jera dan belum mampu mencegah secara komprehensif terjadinya k</w:t>
      </w:r>
      <w:r w:rsidR="00803173">
        <w:rPr>
          <w:rFonts w:ascii="Book Antiqua" w:hAnsi="Book Antiqua" w:cs="Times New Roman"/>
        </w:rPr>
        <w:t xml:space="preserve">ekerasan seksual terhadap anak. </w:t>
      </w:r>
      <w:r w:rsidR="00803173" w:rsidRPr="00803173">
        <w:rPr>
          <w:rFonts w:ascii="Book Antiqua" w:hAnsi="Book Antiqua" w:cs="Times New Roman"/>
        </w:rPr>
        <w:t>Undang-Undang No.35 Tahun 2014 menyatakan:</w:t>
      </w:r>
    </w:p>
    <w:p w:rsidR="00803173" w:rsidRPr="00803173" w:rsidRDefault="00803173" w:rsidP="000C6C9B">
      <w:pPr>
        <w:spacing w:after="0" w:line="240" w:lineRule="auto"/>
        <w:jc w:val="both"/>
        <w:rPr>
          <w:rFonts w:ascii="Book Antiqua" w:hAnsi="Book Antiqua" w:cs="Times New Roman"/>
        </w:rPr>
      </w:pPr>
      <w:r w:rsidRPr="00803173">
        <w:rPr>
          <w:rFonts w:ascii="Book Antiqua" w:hAnsi="Book Antiqua" w:cs="Times New Roman"/>
        </w:rPr>
        <w:t>Pasal 76D</w:t>
      </w:r>
      <w:r w:rsidR="00542213">
        <w:rPr>
          <w:rFonts w:ascii="Book Antiqua" w:hAnsi="Book Antiqua" w:cs="Times New Roman"/>
        </w:rPr>
        <w:t>:</w:t>
      </w:r>
    </w:p>
    <w:p w:rsidR="00803173" w:rsidRPr="00803173" w:rsidRDefault="00803173" w:rsidP="000C6C9B">
      <w:pPr>
        <w:spacing w:after="0" w:line="240" w:lineRule="auto"/>
        <w:jc w:val="both"/>
        <w:rPr>
          <w:rFonts w:ascii="Book Antiqua" w:hAnsi="Book Antiqua" w:cs="Times New Roman"/>
        </w:rPr>
      </w:pPr>
      <w:r w:rsidRPr="00803173">
        <w:rPr>
          <w:rFonts w:ascii="Book Antiqua" w:hAnsi="Book Antiqua" w:cs="Times New Roman"/>
        </w:rPr>
        <w:t>Setiap Orang dilarang melakukan Kekerasan atau ancaman Kekerasan memaksa Anak melakukan persetubuhan dengannya atau dengan orang lain.</w:t>
      </w:r>
    </w:p>
    <w:p w:rsidR="00803173" w:rsidRPr="00803173" w:rsidRDefault="00803173" w:rsidP="000C6C9B">
      <w:pPr>
        <w:spacing w:after="0" w:line="240" w:lineRule="auto"/>
        <w:jc w:val="both"/>
        <w:rPr>
          <w:rFonts w:ascii="Book Antiqua" w:hAnsi="Book Antiqua" w:cs="Times New Roman"/>
        </w:rPr>
      </w:pPr>
      <w:r w:rsidRPr="00803173">
        <w:rPr>
          <w:rFonts w:ascii="Book Antiqua" w:hAnsi="Book Antiqua" w:cs="Times New Roman"/>
        </w:rPr>
        <w:t>Pasal 76E</w:t>
      </w:r>
      <w:r w:rsidR="00542213">
        <w:rPr>
          <w:rFonts w:ascii="Book Antiqua" w:hAnsi="Book Antiqua" w:cs="Times New Roman"/>
        </w:rPr>
        <w:t>:</w:t>
      </w:r>
    </w:p>
    <w:p w:rsidR="00803173" w:rsidRDefault="00803173" w:rsidP="000C6C9B">
      <w:pPr>
        <w:spacing w:after="0" w:line="240" w:lineRule="auto"/>
        <w:jc w:val="both"/>
        <w:rPr>
          <w:rFonts w:ascii="Book Antiqua" w:hAnsi="Book Antiqua" w:cs="Times New Roman"/>
        </w:rPr>
      </w:pPr>
      <w:r w:rsidRPr="00803173">
        <w:rPr>
          <w:rFonts w:ascii="Book Antiqua" w:hAnsi="Book Antiqua" w:cs="Times New Roman"/>
        </w:rPr>
        <w:t xml:space="preserve">Setiap Orang dilarang melakukan Kekerasan atau ancaman Kekerasan, </w:t>
      </w:r>
      <w:r w:rsidRPr="00803173">
        <w:rPr>
          <w:rFonts w:ascii="Book Antiqua" w:hAnsi="Book Antiqua" w:cs="Times New Roman"/>
        </w:rPr>
        <w:lastRenderedPageBreak/>
        <w:t>memaksa, melakukan tipu muslihat, melakukan serangkaian kebohongan, atau membujuk Anak untuk melakukan atau membiarkan dilakukan perbuatan cabul</w:t>
      </w:r>
      <w:r>
        <w:rPr>
          <w:rFonts w:ascii="Book Antiqua" w:hAnsi="Book Antiqua" w:cs="Times New Roman"/>
        </w:rPr>
        <w:t>.</w:t>
      </w:r>
    </w:p>
    <w:p w:rsidR="00A63C06" w:rsidRPr="00A63C06" w:rsidRDefault="00A63C06" w:rsidP="000C6C9B">
      <w:pPr>
        <w:spacing w:after="0" w:line="240" w:lineRule="auto"/>
        <w:ind w:firstLine="720"/>
        <w:jc w:val="both"/>
        <w:rPr>
          <w:rFonts w:ascii="Book Antiqua" w:hAnsi="Book Antiqua" w:cs="Times New Roman"/>
        </w:rPr>
      </w:pPr>
      <w:r w:rsidRPr="00A63C06">
        <w:rPr>
          <w:rFonts w:ascii="Book Antiqua" w:hAnsi="Book Antiqua" w:cs="Times New Roman"/>
        </w:rPr>
        <w:t>Untuk mengatasi fenomena kekerasan seksual terhadap anak, memberi efek jera terhadap pelaku, dan mencegah terjadinya kekerasan seksual terhadap anak, Pemerintah telah menambah pidana pokok berupa pidana mati dan pidana seumur hidup, serta pidana tambahan berupa pengumuman identitas pelaku. Selain itu, menambahkan ketentuan mengenai tindakan berupa kebiri kimia, pemasangan alat pendeteksi elektronik, dan rehabilitasi.</w:t>
      </w:r>
    </w:p>
    <w:p w:rsidR="00A63C06" w:rsidRPr="00A63C06" w:rsidRDefault="00542213" w:rsidP="000C6C9B">
      <w:pPr>
        <w:spacing w:after="0" w:line="240" w:lineRule="auto"/>
        <w:jc w:val="both"/>
        <w:rPr>
          <w:rFonts w:ascii="Book Antiqua" w:hAnsi="Book Antiqua" w:cs="Times New Roman"/>
        </w:rPr>
      </w:pPr>
      <w:r>
        <w:rPr>
          <w:rFonts w:ascii="Book Antiqua" w:hAnsi="Book Antiqua" w:cs="Times New Roman"/>
        </w:rPr>
        <w:t xml:space="preserve">Pasal </w:t>
      </w:r>
      <w:r w:rsidR="00A63C06" w:rsidRPr="00A63C06">
        <w:rPr>
          <w:rFonts w:ascii="Book Antiqua" w:hAnsi="Book Antiqua" w:cs="Times New Roman"/>
        </w:rPr>
        <w:t>8</w:t>
      </w:r>
      <w:r>
        <w:rPr>
          <w:rFonts w:ascii="Book Antiqua" w:hAnsi="Book Antiqua" w:cs="Times New Roman"/>
        </w:rPr>
        <w:t>1</w:t>
      </w:r>
      <w:r w:rsidR="00A63C06" w:rsidRPr="00A63C06">
        <w:rPr>
          <w:rFonts w:ascii="Book Antiqua" w:hAnsi="Book Antiqua" w:cs="Times New Roman"/>
        </w:rPr>
        <w:t xml:space="preserve"> Perpu No.1 Tahun 2016 Jo. Undang-Undang No.17 Tahun 2016 :</w:t>
      </w:r>
    </w:p>
    <w:p w:rsidR="00A63C06" w:rsidRPr="00A63C06" w:rsidRDefault="00A63C06" w:rsidP="000C6C9B">
      <w:pPr>
        <w:numPr>
          <w:ilvl w:val="0"/>
          <w:numId w:val="1"/>
        </w:numPr>
        <w:tabs>
          <w:tab w:val="clear" w:pos="720"/>
          <w:tab w:val="num" w:pos="284"/>
        </w:tabs>
        <w:spacing w:after="0" w:line="240" w:lineRule="auto"/>
        <w:ind w:left="284" w:hanging="284"/>
        <w:jc w:val="both"/>
        <w:rPr>
          <w:rFonts w:ascii="Book Antiqua" w:hAnsi="Book Antiqua" w:cs="Times New Roman"/>
        </w:rPr>
      </w:pPr>
      <w:r w:rsidRPr="00A63C06">
        <w:rPr>
          <w:rFonts w:ascii="Book Antiqua" w:hAnsi="Book Antiqua" w:cs="Times New Roman"/>
        </w:rPr>
        <w:t>Setiap orang yang melanggar ketentuan sebagaimana dimaksud dalam Pasal 76D dipidana dengan pidana penjara paling singkat 5 (lima) tahun dan paling lama 15 (lima belas) tahun dan denda paling banyak Rp5.000.000.000,00 (lima miliar rupiah).</w:t>
      </w:r>
    </w:p>
    <w:p w:rsidR="00A63C06" w:rsidRPr="00A63C06" w:rsidRDefault="00A63C06" w:rsidP="000C6C9B">
      <w:pPr>
        <w:numPr>
          <w:ilvl w:val="0"/>
          <w:numId w:val="1"/>
        </w:numPr>
        <w:tabs>
          <w:tab w:val="clear" w:pos="720"/>
          <w:tab w:val="num" w:pos="284"/>
        </w:tabs>
        <w:spacing w:after="0" w:line="240" w:lineRule="auto"/>
        <w:ind w:left="284" w:hanging="284"/>
        <w:jc w:val="both"/>
        <w:rPr>
          <w:rFonts w:ascii="Book Antiqua" w:hAnsi="Book Antiqua" w:cs="Times New Roman"/>
        </w:rPr>
      </w:pPr>
      <w:r w:rsidRPr="00A63C06">
        <w:rPr>
          <w:rFonts w:ascii="Book Antiqua" w:hAnsi="Book Antiqua" w:cs="Times New Roman"/>
        </w:rPr>
        <w:t>Ketentuan pidana sebagaimana dimaksud pada ayat (1) berlaku pula bagi setiap Orang yang dengan sengaja melakukan tipu muslihat, serangkaian kebohongan, atau membujuk Anak melakukan persetubuhan dengannya atau dengan orang lain.</w:t>
      </w:r>
    </w:p>
    <w:p w:rsidR="00A63C06" w:rsidRPr="00A63C06" w:rsidRDefault="00A63C06" w:rsidP="000C6C9B">
      <w:pPr>
        <w:numPr>
          <w:ilvl w:val="0"/>
          <w:numId w:val="1"/>
        </w:numPr>
        <w:tabs>
          <w:tab w:val="clear" w:pos="720"/>
          <w:tab w:val="num" w:pos="284"/>
        </w:tabs>
        <w:spacing w:after="0" w:line="240" w:lineRule="auto"/>
        <w:ind w:left="284" w:hanging="284"/>
        <w:jc w:val="both"/>
        <w:rPr>
          <w:rFonts w:ascii="Book Antiqua" w:hAnsi="Book Antiqua" w:cs="Times New Roman"/>
        </w:rPr>
      </w:pPr>
      <w:r w:rsidRPr="00A63C06">
        <w:rPr>
          <w:rFonts w:ascii="Book Antiqua" w:hAnsi="Book Antiqua" w:cs="Times New Roman"/>
        </w:rPr>
        <w:t>Dalam hal tindak pidana sebagaimana dimaksud pada ayat (1) dilakukan oleh orang tua, wali, orang-orang yang mempunyai hubungan keluarga, pengasuh anak, pendidik, tenaga kependidikan, aparat yang menangani perlindungan anak, atau dilakukan oleh lebih dari satu orang secara bersama-sama, pidananya ditambah 1/3 (sepertiga) dari ancaman pidana sebagaimana dimaksud pada ayat (1).</w:t>
      </w:r>
    </w:p>
    <w:p w:rsidR="00A63C06" w:rsidRPr="00A63C06" w:rsidRDefault="00A63C06" w:rsidP="000C6C9B">
      <w:pPr>
        <w:numPr>
          <w:ilvl w:val="0"/>
          <w:numId w:val="1"/>
        </w:numPr>
        <w:tabs>
          <w:tab w:val="clear" w:pos="720"/>
          <w:tab w:val="num" w:pos="284"/>
        </w:tabs>
        <w:spacing w:after="0" w:line="240" w:lineRule="auto"/>
        <w:ind w:left="284" w:hanging="284"/>
        <w:jc w:val="both"/>
        <w:rPr>
          <w:rFonts w:ascii="Book Antiqua" w:hAnsi="Book Antiqua" w:cs="Times New Roman"/>
        </w:rPr>
      </w:pPr>
      <w:r w:rsidRPr="00A63C06">
        <w:rPr>
          <w:rFonts w:ascii="Book Antiqua" w:hAnsi="Book Antiqua" w:cs="Times New Roman"/>
        </w:rPr>
        <w:t xml:space="preserve">Selain terhadap pelaku sebagaimana dimaksud pada ayat (3), penambahan </w:t>
      </w:r>
      <w:r w:rsidRPr="00A63C06">
        <w:rPr>
          <w:rFonts w:ascii="Book Antiqua" w:hAnsi="Book Antiqua" w:cs="Times New Roman"/>
        </w:rPr>
        <w:lastRenderedPageBreak/>
        <w:t>1/3 (sepertiga) dari ancaman pidana juga dikenakan kepada pelaku yang pernah dipidana karena melakukan tindak pidana sebagaimana dimaksud dalam Pasal 76D.</w:t>
      </w:r>
    </w:p>
    <w:p w:rsidR="000E1B0D" w:rsidRDefault="00A63C06" w:rsidP="000C6C9B">
      <w:pPr>
        <w:numPr>
          <w:ilvl w:val="0"/>
          <w:numId w:val="1"/>
        </w:numPr>
        <w:tabs>
          <w:tab w:val="clear" w:pos="720"/>
          <w:tab w:val="num" w:pos="284"/>
        </w:tabs>
        <w:spacing w:after="0" w:line="240" w:lineRule="auto"/>
        <w:ind w:left="284" w:hanging="284"/>
        <w:jc w:val="both"/>
        <w:rPr>
          <w:rFonts w:ascii="Book Antiqua" w:hAnsi="Book Antiqua" w:cs="Times New Roman"/>
        </w:rPr>
      </w:pPr>
      <w:r w:rsidRPr="00A63C06">
        <w:rPr>
          <w:rFonts w:ascii="Book Antiqua" w:hAnsi="Book Antiqua" w:cs="Times New Roman"/>
        </w:rPr>
        <w:t>Dalam hal tindak pidana sebagaimana dimaksud dalam Pasal 76D menimbulkan korban lebih dari 1 (satu) orang, mengakibatkan luka berat, gangguan jiwa, penyakit menular, terganggu atau hilangnya fungsi reproduksi, dan/atau korban meninggal dunia, pelaku dipidana mati, seumur hidup, atau pidana penjara paling singkat 10 (sepuluh) tahun dan paling lama 20 (dua puluh) tahun.</w:t>
      </w:r>
    </w:p>
    <w:p w:rsidR="000E1B0D" w:rsidRDefault="00A63C06" w:rsidP="000C6C9B">
      <w:pPr>
        <w:numPr>
          <w:ilvl w:val="0"/>
          <w:numId w:val="1"/>
        </w:numPr>
        <w:tabs>
          <w:tab w:val="clear" w:pos="720"/>
          <w:tab w:val="num" w:pos="284"/>
        </w:tabs>
        <w:spacing w:after="0" w:line="240" w:lineRule="auto"/>
        <w:ind w:left="284" w:hanging="284"/>
        <w:jc w:val="both"/>
        <w:rPr>
          <w:rFonts w:ascii="Book Antiqua" w:hAnsi="Book Antiqua" w:cs="Times New Roman"/>
        </w:rPr>
      </w:pPr>
      <w:r w:rsidRPr="000E1B0D">
        <w:rPr>
          <w:rFonts w:ascii="Book Antiqua" w:hAnsi="Book Antiqua" w:cs="Times New Roman"/>
        </w:rPr>
        <w:t>Selain dikenai pidana sebagaimana dimaksud pada ayat (1), ayat (3), ayat (4), dan ayat (5), pelaku dapat dikenai pidana tambahan berupa pengumuman identitas pelaku.</w:t>
      </w:r>
    </w:p>
    <w:p w:rsidR="000E1B0D" w:rsidRDefault="00A63C06" w:rsidP="000C6C9B">
      <w:pPr>
        <w:numPr>
          <w:ilvl w:val="0"/>
          <w:numId w:val="1"/>
        </w:numPr>
        <w:tabs>
          <w:tab w:val="clear" w:pos="720"/>
          <w:tab w:val="num" w:pos="284"/>
        </w:tabs>
        <w:spacing w:after="0" w:line="240" w:lineRule="auto"/>
        <w:ind w:left="284" w:hanging="284"/>
        <w:jc w:val="both"/>
        <w:rPr>
          <w:rFonts w:ascii="Book Antiqua" w:hAnsi="Book Antiqua" w:cs="Times New Roman"/>
        </w:rPr>
      </w:pPr>
      <w:r w:rsidRPr="000E1B0D">
        <w:rPr>
          <w:rFonts w:ascii="Book Antiqua" w:hAnsi="Book Antiqua" w:cs="Times New Roman"/>
        </w:rPr>
        <w:t>Terhadap pelaku sebagaimana dimaksud pada ayat (4) dan ayat (5) dapat dikenai tindakan berupa kebiri kimia dan pemasangan alat pendeteksi elektronik.</w:t>
      </w:r>
    </w:p>
    <w:p w:rsidR="00A63C06" w:rsidRPr="000E1B0D" w:rsidRDefault="00A63C06" w:rsidP="000C6C9B">
      <w:pPr>
        <w:numPr>
          <w:ilvl w:val="0"/>
          <w:numId w:val="1"/>
        </w:numPr>
        <w:tabs>
          <w:tab w:val="clear" w:pos="720"/>
          <w:tab w:val="num" w:pos="284"/>
        </w:tabs>
        <w:spacing w:after="0" w:line="240" w:lineRule="auto"/>
        <w:ind w:left="284" w:hanging="284"/>
        <w:jc w:val="both"/>
        <w:rPr>
          <w:rFonts w:ascii="Book Antiqua" w:hAnsi="Book Antiqua" w:cs="Times New Roman"/>
        </w:rPr>
      </w:pPr>
      <w:r w:rsidRPr="000E1B0D">
        <w:rPr>
          <w:rFonts w:ascii="Book Antiqua" w:hAnsi="Book Antiqua" w:cs="Times New Roman"/>
        </w:rPr>
        <w:t>Tindakan sebagaimana dimaksud pada ayat (7) diputuskan bersama-sama dengan pidana pokok dengan memuat jangka waktu pelaksanaan tindakan.</w:t>
      </w:r>
    </w:p>
    <w:p w:rsidR="000E1B0D" w:rsidRDefault="000E1B0D" w:rsidP="000C6C9B">
      <w:pPr>
        <w:spacing w:after="0" w:line="240" w:lineRule="auto"/>
        <w:jc w:val="both"/>
        <w:rPr>
          <w:rFonts w:ascii="Book Antiqua" w:hAnsi="Book Antiqua" w:cs="Times New Roman"/>
        </w:rPr>
      </w:pPr>
      <w:r>
        <w:rPr>
          <w:rFonts w:ascii="Book Antiqua" w:hAnsi="Book Antiqua" w:cs="Times New Roman"/>
        </w:rPr>
        <w:t>Pasal 81A:</w:t>
      </w:r>
    </w:p>
    <w:p w:rsidR="000E1B0D" w:rsidRDefault="00542213" w:rsidP="000C6C9B">
      <w:pPr>
        <w:pStyle w:val="ListParagraph"/>
        <w:numPr>
          <w:ilvl w:val="0"/>
          <w:numId w:val="10"/>
        </w:numPr>
        <w:spacing w:after="0" w:line="240" w:lineRule="auto"/>
        <w:ind w:left="284" w:hanging="284"/>
        <w:jc w:val="both"/>
        <w:rPr>
          <w:rFonts w:ascii="Book Antiqua" w:hAnsi="Book Antiqua" w:cs="Times New Roman"/>
        </w:rPr>
      </w:pPr>
      <w:r w:rsidRPr="000E1B0D">
        <w:rPr>
          <w:rFonts w:ascii="Book Antiqua" w:hAnsi="Book Antiqua" w:cs="Times New Roman"/>
        </w:rPr>
        <w:t>Tindakan sebagaimana dimaksud dalam Pasal 81 ayat (7) dikenakan untuk jangka waktu paling lama 2 (dua) tahun dan dilaksanakan setelah terpidana menjalani pidana pokok.</w:t>
      </w:r>
    </w:p>
    <w:p w:rsidR="000E1B0D" w:rsidRDefault="00542213" w:rsidP="000C6C9B">
      <w:pPr>
        <w:pStyle w:val="ListParagraph"/>
        <w:numPr>
          <w:ilvl w:val="0"/>
          <w:numId w:val="10"/>
        </w:numPr>
        <w:spacing w:after="0" w:line="240" w:lineRule="auto"/>
        <w:ind w:left="284" w:hanging="284"/>
        <w:jc w:val="both"/>
        <w:rPr>
          <w:rFonts w:ascii="Book Antiqua" w:hAnsi="Book Antiqua" w:cs="Times New Roman"/>
        </w:rPr>
      </w:pPr>
      <w:r w:rsidRPr="000E1B0D">
        <w:rPr>
          <w:rFonts w:ascii="Book Antiqua" w:hAnsi="Book Antiqua" w:cs="Times New Roman"/>
        </w:rPr>
        <w:t>Pelaksanaan tindakan sebagaimana dimaksud pada ayat (1) di bawah pengawasan secara berkala oleh kementerian yang menyelenggarakan urusan pemerintahan di bidang hukum, sosial, dan kesehatan.</w:t>
      </w:r>
    </w:p>
    <w:p w:rsidR="000E1B0D" w:rsidRDefault="00542213" w:rsidP="000C6C9B">
      <w:pPr>
        <w:pStyle w:val="ListParagraph"/>
        <w:numPr>
          <w:ilvl w:val="0"/>
          <w:numId w:val="10"/>
        </w:numPr>
        <w:spacing w:after="0" w:line="240" w:lineRule="auto"/>
        <w:ind w:left="284" w:hanging="284"/>
        <w:jc w:val="both"/>
        <w:rPr>
          <w:rFonts w:ascii="Book Antiqua" w:hAnsi="Book Antiqua" w:cs="Times New Roman"/>
        </w:rPr>
      </w:pPr>
      <w:r w:rsidRPr="000E1B0D">
        <w:rPr>
          <w:rFonts w:ascii="Book Antiqua" w:hAnsi="Book Antiqua" w:cs="Times New Roman"/>
        </w:rPr>
        <w:t>Pelaksanaan kebiri kimia disertai dengan rehabilitasi.</w:t>
      </w:r>
    </w:p>
    <w:p w:rsidR="00542213" w:rsidRPr="000E1B0D" w:rsidRDefault="00542213" w:rsidP="000C6C9B">
      <w:pPr>
        <w:pStyle w:val="ListParagraph"/>
        <w:numPr>
          <w:ilvl w:val="0"/>
          <w:numId w:val="10"/>
        </w:numPr>
        <w:spacing w:after="0" w:line="240" w:lineRule="auto"/>
        <w:ind w:left="284" w:hanging="284"/>
        <w:jc w:val="both"/>
        <w:rPr>
          <w:rFonts w:ascii="Book Antiqua" w:hAnsi="Book Antiqua" w:cs="Times New Roman"/>
        </w:rPr>
      </w:pPr>
      <w:r w:rsidRPr="000E1B0D">
        <w:rPr>
          <w:rFonts w:ascii="Book Antiqua" w:hAnsi="Book Antiqua" w:cs="Times New Roman"/>
        </w:rPr>
        <w:t>Ketentuan lebih lanjut mengenai tata cara pelaksanaan tindakan dan rehabilitasi diatur dengan Peraturan Pemerintah</w:t>
      </w:r>
    </w:p>
    <w:p w:rsidR="00803173" w:rsidRDefault="00F8474E" w:rsidP="000C6C9B">
      <w:pPr>
        <w:spacing w:after="0" w:line="240" w:lineRule="auto"/>
        <w:jc w:val="both"/>
        <w:rPr>
          <w:rFonts w:ascii="Book Antiqua" w:hAnsi="Book Antiqua" w:cs="Times New Roman"/>
        </w:rPr>
      </w:pPr>
      <w:r w:rsidRPr="00F8474E">
        <w:rPr>
          <w:rFonts w:ascii="Book Antiqua" w:hAnsi="Book Antiqua" w:cs="Times New Roman"/>
        </w:rPr>
        <w:lastRenderedPageBreak/>
        <w:t>Kebiri kimiawi adalah prosedur medis untuk menekan dorongan seksual dan menghentikan</w:t>
      </w:r>
      <w:r>
        <w:rPr>
          <w:rFonts w:ascii="Book Antiqua" w:hAnsi="Book Antiqua" w:cs="Times New Roman"/>
        </w:rPr>
        <w:t xml:space="preserve"> muncul kembali. K</w:t>
      </w:r>
      <w:r w:rsidRPr="00F8474E">
        <w:rPr>
          <w:rFonts w:ascii="Book Antiqua" w:hAnsi="Book Antiqua" w:cs="Times New Roman"/>
        </w:rPr>
        <w:t>ebiri kimia dilakukan dengan cara memasukkan zat kimia anti-androgen ke tubuh seseorang agar produksi hormon testosteron di tubuh mereka berkurang. Hasil akhirnya akan sama seperti kebiri bedah. Hormon androgen alias hormon laki-laki mengatur segala sesuatu yang berhubungan deng</w:t>
      </w:r>
      <w:r>
        <w:rPr>
          <w:rFonts w:ascii="Book Antiqua" w:hAnsi="Book Antiqua" w:cs="Times New Roman"/>
        </w:rPr>
        <w:t>an organ reproduksi pria. A</w:t>
      </w:r>
      <w:r w:rsidRPr="00F8474E">
        <w:rPr>
          <w:rFonts w:ascii="Book Antiqua" w:hAnsi="Book Antiqua" w:cs="Times New Roman"/>
        </w:rPr>
        <w:t>ndrogen yang paling aktif dan dominan adalah testosteron. Testosteron merupakan hormon yang memiliki banyak fungsi, salah satunya fungsi seksual.</w:t>
      </w:r>
      <w:r>
        <w:rPr>
          <w:rStyle w:val="FootnoteReference"/>
          <w:rFonts w:ascii="Book Antiqua" w:hAnsi="Book Antiqua" w:cs="Times New Roman"/>
        </w:rPr>
        <w:footnoteReference w:id="8"/>
      </w:r>
    </w:p>
    <w:p w:rsidR="00C93166" w:rsidRDefault="00542213" w:rsidP="000C6C9B">
      <w:pPr>
        <w:spacing w:after="0" w:line="240" w:lineRule="auto"/>
        <w:jc w:val="both"/>
        <w:rPr>
          <w:rFonts w:ascii="Book Antiqua" w:hAnsi="Book Antiqua" w:cs="Times New Roman"/>
        </w:rPr>
      </w:pPr>
      <w:r>
        <w:rPr>
          <w:rFonts w:ascii="Book Antiqua" w:hAnsi="Book Antiqua" w:cs="Times New Roman"/>
        </w:rPr>
        <w:t xml:space="preserve">Menurut </w:t>
      </w:r>
      <w:r w:rsidR="00850586" w:rsidRPr="00850586">
        <w:rPr>
          <w:rFonts w:ascii="Book Antiqua" w:hAnsi="Book Antiqua" w:cs="Times New Roman"/>
        </w:rPr>
        <w:t xml:space="preserve">Pasal 73 </w:t>
      </w:r>
      <w:r w:rsidR="00850586">
        <w:rPr>
          <w:rFonts w:ascii="Book Antiqua" w:hAnsi="Book Antiqua" w:cs="Times New Roman"/>
        </w:rPr>
        <w:t>U</w:t>
      </w:r>
      <w:r w:rsidR="00C93166">
        <w:rPr>
          <w:rFonts w:ascii="Book Antiqua" w:hAnsi="Book Antiqua" w:cs="Times New Roman"/>
        </w:rPr>
        <w:t>ndang Undang No.39 Tahun 1999 :</w:t>
      </w:r>
    </w:p>
    <w:p w:rsidR="001017C7" w:rsidRPr="00A63C06" w:rsidRDefault="00850586" w:rsidP="000C6C9B">
      <w:pPr>
        <w:spacing w:after="0" w:line="240" w:lineRule="auto"/>
        <w:jc w:val="both"/>
        <w:rPr>
          <w:rFonts w:ascii="Book Antiqua" w:hAnsi="Book Antiqua" w:cs="Times New Roman"/>
        </w:rPr>
      </w:pPr>
      <w:r w:rsidRPr="00850586">
        <w:rPr>
          <w:rFonts w:ascii="Book Antiqua" w:hAnsi="Book Antiqua" w:cs="Times New Roman"/>
        </w:rPr>
        <w:t>Hak dan kebebasan yang diatur dalam Undang-undang ini hanya dapat dibatasi oleh dan berdasarkan undang-undang, semata-mata untuk menjamin pengakuan dan penghormatan terhadap hak asasi manusia serta kebebasan dasar orang lain, kesusilaan, ketertiba</w:t>
      </w:r>
      <w:r>
        <w:rPr>
          <w:rFonts w:ascii="Book Antiqua" w:hAnsi="Book Antiqua" w:cs="Times New Roman"/>
        </w:rPr>
        <w:t>n umum, dan kepentingan bangsa.</w:t>
      </w:r>
      <w:r w:rsidR="00803173">
        <w:rPr>
          <w:rFonts w:ascii="Book Antiqua" w:hAnsi="Book Antiqua" w:cs="Times New Roman"/>
        </w:rPr>
        <w:t xml:space="preserve"> </w:t>
      </w:r>
      <w:r>
        <w:rPr>
          <w:rFonts w:ascii="Book Antiqua" w:hAnsi="Book Antiqua" w:cs="Times New Roman"/>
        </w:rPr>
        <w:t xml:space="preserve">Pada intinya </w:t>
      </w:r>
      <w:r w:rsidR="00C81E59">
        <w:rPr>
          <w:rFonts w:ascii="Book Antiqua" w:hAnsi="Book Antiqua" w:cs="Times New Roman"/>
        </w:rPr>
        <w:t>s</w:t>
      </w:r>
      <w:r>
        <w:rPr>
          <w:rFonts w:ascii="Book Antiqua" w:hAnsi="Book Antiqua" w:cs="Times New Roman"/>
        </w:rPr>
        <w:t xml:space="preserve">anksi tindakan berupa </w:t>
      </w:r>
      <w:r w:rsidRPr="00850586">
        <w:rPr>
          <w:rFonts w:ascii="Book Antiqua" w:hAnsi="Book Antiqua" w:cs="Times New Roman"/>
        </w:rPr>
        <w:t>kebiri kimia</w:t>
      </w:r>
      <w:r>
        <w:rPr>
          <w:rFonts w:ascii="Book Antiqua" w:hAnsi="Book Antiqua" w:cs="Times New Roman"/>
        </w:rPr>
        <w:t xml:space="preserve"> di masukkan</w:t>
      </w:r>
      <w:r w:rsidRPr="00850586">
        <w:rPr>
          <w:rFonts w:ascii="Book Antiqua" w:hAnsi="Book Antiqua" w:cs="Times New Roman"/>
        </w:rPr>
        <w:t xml:space="preserve"> untuk menjamin pengakuan dan penghormatan terhadap </w:t>
      </w:r>
      <w:r>
        <w:rPr>
          <w:rFonts w:ascii="Book Antiqua" w:hAnsi="Book Antiqua" w:cs="Times New Roman"/>
        </w:rPr>
        <w:t>hak asasi manusia</w:t>
      </w:r>
      <w:r w:rsidRPr="00850586">
        <w:rPr>
          <w:rFonts w:ascii="Book Antiqua" w:hAnsi="Book Antiqua" w:cs="Times New Roman"/>
        </w:rPr>
        <w:t xml:space="preserve"> serta kebebasan dasar orang lain, kesusilaan, ketertib</w:t>
      </w:r>
      <w:r>
        <w:rPr>
          <w:rFonts w:ascii="Book Antiqua" w:hAnsi="Book Antiqua" w:cs="Times New Roman"/>
        </w:rPr>
        <w:t>an umum, dan kepentingan bangsa</w:t>
      </w:r>
      <w:r w:rsidR="007F0C96">
        <w:rPr>
          <w:rFonts w:ascii="Book Antiqua" w:hAnsi="Book Antiqua" w:cs="Times New Roman"/>
        </w:rPr>
        <w:t>.</w:t>
      </w:r>
      <w:r w:rsidR="00803173">
        <w:rPr>
          <w:rFonts w:ascii="Book Antiqua" w:hAnsi="Book Antiqua" w:cs="Times New Roman"/>
        </w:rPr>
        <w:t xml:space="preserve"> </w:t>
      </w:r>
      <w:r w:rsidR="001017C7" w:rsidRPr="00A63C06">
        <w:rPr>
          <w:rFonts w:ascii="Book Antiqua" w:hAnsi="Book Antiqua" w:cs="Times New Roman"/>
        </w:rPr>
        <w:t xml:space="preserve">Pelaku </w:t>
      </w:r>
      <w:r w:rsidR="00803173">
        <w:rPr>
          <w:rFonts w:ascii="Book Antiqua" w:hAnsi="Book Antiqua" w:cs="Times New Roman"/>
        </w:rPr>
        <w:t>kekerasan</w:t>
      </w:r>
      <w:r w:rsidR="001017C7" w:rsidRPr="00A63C06">
        <w:rPr>
          <w:rFonts w:ascii="Book Antiqua" w:hAnsi="Book Antiqua" w:cs="Times New Roman"/>
        </w:rPr>
        <w:t xml:space="preserve"> seksual </w:t>
      </w:r>
      <w:r w:rsidR="00803173">
        <w:rPr>
          <w:rFonts w:ascii="Book Antiqua" w:hAnsi="Book Antiqua" w:cs="Times New Roman"/>
        </w:rPr>
        <w:t>kepada</w:t>
      </w:r>
      <w:r w:rsidR="001017C7" w:rsidRPr="00A63C06">
        <w:rPr>
          <w:rFonts w:ascii="Book Antiqua" w:hAnsi="Book Antiqua" w:cs="Times New Roman"/>
        </w:rPr>
        <w:t xml:space="preserve"> anak dikualifikasikan sebagai </w:t>
      </w:r>
      <w:r w:rsidR="001017C7" w:rsidRPr="00A63C06">
        <w:rPr>
          <w:rFonts w:ascii="Book Antiqua" w:hAnsi="Book Antiqua" w:cs="Times New Roman"/>
          <w:i/>
        </w:rPr>
        <w:t>graviora delicta</w:t>
      </w:r>
      <w:r w:rsidR="001017C7" w:rsidRPr="00A63C06">
        <w:rPr>
          <w:rFonts w:ascii="Book Antiqua" w:hAnsi="Book Antiqua" w:cs="Times New Roman"/>
        </w:rPr>
        <w:t xml:space="preserve"> atau kejahatan serius yang kejam. Di katakan demikian karena anak sangat rentan menjadi korban kejahatan dan oleh</w:t>
      </w:r>
      <w:r w:rsidR="00857227">
        <w:rPr>
          <w:rFonts w:ascii="Book Antiqua" w:hAnsi="Book Antiqua" w:cs="Times New Roman"/>
        </w:rPr>
        <w:t xml:space="preserve"> karena</w:t>
      </w:r>
      <w:r w:rsidR="001017C7" w:rsidRPr="00A63C06">
        <w:rPr>
          <w:rFonts w:ascii="Book Antiqua" w:hAnsi="Book Antiqua" w:cs="Times New Roman"/>
        </w:rPr>
        <w:t xml:space="preserve"> itu harus diberikan perlindungan.</w:t>
      </w:r>
      <w:r w:rsidR="00803173">
        <w:rPr>
          <w:rFonts w:ascii="Book Antiqua" w:hAnsi="Book Antiqua" w:cs="Times New Roman"/>
        </w:rPr>
        <w:t xml:space="preserve"> </w:t>
      </w:r>
      <w:r w:rsidR="001017C7" w:rsidRPr="00A63C06">
        <w:rPr>
          <w:rFonts w:ascii="Book Antiqua" w:hAnsi="Book Antiqua" w:cs="Times New Roman"/>
        </w:rPr>
        <w:t xml:space="preserve">Secara khusus dalam lingkungan gereja, kejahatan seksual terhadap anak memang dipandang sebagai </w:t>
      </w:r>
      <w:r w:rsidR="001017C7" w:rsidRPr="00A63C06">
        <w:rPr>
          <w:rFonts w:ascii="Book Antiqua" w:hAnsi="Book Antiqua" w:cs="Times New Roman"/>
          <w:i/>
        </w:rPr>
        <w:t>graviora delicta</w:t>
      </w:r>
      <w:r w:rsidR="001017C7" w:rsidRPr="00A63C06">
        <w:rPr>
          <w:rFonts w:ascii="Book Antiqua" w:hAnsi="Book Antiqua" w:cs="Times New Roman"/>
        </w:rPr>
        <w:t xml:space="preserve"> dan menjadi perhatian khusus </w:t>
      </w:r>
      <w:r w:rsidR="001017C7" w:rsidRPr="00A63C06">
        <w:rPr>
          <w:rFonts w:ascii="Book Antiqua" w:hAnsi="Book Antiqua" w:cs="Times New Roman"/>
        </w:rPr>
        <w:lastRenderedPageBreak/>
        <w:t>bagi gereja, seperti yang tergambar dalam Ave Maria International Law Journal yang berjudul The New Delicta Graviora Laws yang ditulis Davide Cito (hal. 93):</w:t>
      </w:r>
    </w:p>
    <w:p w:rsidR="00857227" w:rsidRDefault="001017C7" w:rsidP="000C6C9B">
      <w:pPr>
        <w:spacing w:after="0" w:line="240" w:lineRule="auto"/>
        <w:jc w:val="both"/>
        <w:rPr>
          <w:rFonts w:ascii="Book Antiqua" w:hAnsi="Book Antiqua" w:cs="Times New Roman"/>
        </w:rPr>
      </w:pPr>
      <w:r w:rsidRPr="00A63C06">
        <w:rPr>
          <w:rFonts w:ascii="Book Antiqua" w:hAnsi="Book Antiqua" w:cs="Times New Roman"/>
          <w:i/>
        </w:rPr>
        <w:t>Although the abuse of minors by a Cleric is a particularly odious and very serious crime, it is certainly not the only crime contained in the delicta graviora. However, recent events have made this particular type of crime the driving force of reform, and in a sense, the central point in the Holy See’s current penal legal system</w:t>
      </w:r>
      <w:r w:rsidRPr="00A63C06">
        <w:rPr>
          <w:rFonts w:ascii="Book Antiqua" w:hAnsi="Book Antiqua" w:cs="Times New Roman"/>
        </w:rPr>
        <w:t>.</w:t>
      </w:r>
      <w:r w:rsidR="00857227">
        <w:rPr>
          <w:rStyle w:val="FootnoteReference"/>
          <w:rFonts w:ascii="Book Antiqua" w:hAnsi="Book Antiqua" w:cs="Times New Roman"/>
        </w:rPr>
        <w:footnoteReference w:id="9"/>
      </w:r>
    </w:p>
    <w:p w:rsidR="00033199" w:rsidRPr="00A63C06" w:rsidRDefault="004112AA" w:rsidP="000C6C9B">
      <w:pPr>
        <w:spacing w:after="0" w:line="240" w:lineRule="auto"/>
        <w:jc w:val="both"/>
        <w:rPr>
          <w:rFonts w:ascii="Book Antiqua" w:hAnsi="Book Antiqua" w:cs="Times New Roman"/>
        </w:rPr>
      </w:pPr>
      <w:r w:rsidRPr="004112AA">
        <w:rPr>
          <w:rFonts w:ascii="Book Antiqua" w:hAnsi="Book Antiqua" w:cs="Times New Roman"/>
        </w:rPr>
        <w:t>Anak menjadi kelompok yang sangat rentan terhadap kekerasan seksual karena anak selalu diposisikan sebagai sosok lemah atau yang tidak berdaya dan memiliki ketergantungan yang tinggi dengan orang-orang dewasa di sekitarnya. Hal inilah yang membuat anak tidak berdaya saat diancam untuk tidak memberitahukan apa yang dialaminya. Hampir dari setiap kasus yang diungkap, pelakunya a</w:t>
      </w:r>
      <w:r>
        <w:rPr>
          <w:rFonts w:ascii="Book Antiqua" w:hAnsi="Book Antiqua" w:cs="Times New Roman"/>
        </w:rPr>
        <w:t xml:space="preserve">dalah orang yang dekat korban. </w:t>
      </w:r>
      <w:r w:rsidR="001017C7" w:rsidRPr="00A63C06">
        <w:rPr>
          <w:rFonts w:ascii="Book Antiqua" w:hAnsi="Book Antiqua" w:cs="Times New Roman"/>
        </w:rPr>
        <w:t>Anak sebagai korban kejahatan seksual terdampak luar biasa, terutama terhadap perkembangan psikologinya di masa yang akan datang, akibat dari depresi, malu, dan lain sebagainya.</w:t>
      </w:r>
      <w:r w:rsidR="00857227">
        <w:rPr>
          <w:rFonts w:ascii="Book Antiqua" w:hAnsi="Book Antiqua" w:cs="Times New Roman"/>
        </w:rPr>
        <w:t xml:space="preserve"> </w:t>
      </w:r>
      <w:r w:rsidR="001017C7" w:rsidRPr="00A63C06">
        <w:rPr>
          <w:rFonts w:ascii="Book Antiqua" w:hAnsi="Book Antiqua" w:cs="Times New Roman"/>
        </w:rPr>
        <w:t>Dalam konteks ini, tindakan kebiri kimia dan pemasangan chip merupakan hukuman yang se</w:t>
      </w:r>
      <w:r w:rsidR="00857227">
        <w:rPr>
          <w:rFonts w:ascii="Book Antiqua" w:hAnsi="Book Antiqua" w:cs="Times New Roman"/>
        </w:rPr>
        <w:t>suai</w:t>
      </w:r>
      <w:r w:rsidR="001017C7" w:rsidRPr="00A63C06">
        <w:rPr>
          <w:rFonts w:ascii="Book Antiqua" w:hAnsi="Book Antiqua" w:cs="Times New Roman"/>
        </w:rPr>
        <w:t xml:space="preserve">. Sebab, selain pelaku tidak bisa lagi mengulangi perbuatannya, pada saat yang sama ini sekaligus sebagai </w:t>
      </w:r>
      <w:r w:rsidR="001017C7" w:rsidRPr="00A63C06">
        <w:rPr>
          <w:rFonts w:ascii="Book Antiqua" w:hAnsi="Book Antiqua" w:cs="Times New Roman"/>
          <w:i/>
        </w:rPr>
        <w:t>general prevention</w:t>
      </w:r>
      <w:r w:rsidR="001017C7" w:rsidRPr="00A63C06">
        <w:rPr>
          <w:rFonts w:ascii="Book Antiqua" w:hAnsi="Book Antiqua" w:cs="Times New Roman"/>
        </w:rPr>
        <w:t xml:space="preserve"> bagi orang lain agar tidak melakukan kejahatan yang sama.</w:t>
      </w:r>
      <w:r w:rsidR="00857227">
        <w:rPr>
          <w:rFonts w:ascii="Book Antiqua" w:hAnsi="Book Antiqua" w:cs="Times New Roman"/>
        </w:rPr>
        <w:t xml:space="preserve"> T</w:t>
      </w:r>
      <w:r w:rsidR="001017C7" w:rsidRPr="00A63C06">
        <w:rPr>
          <w:rFonts w:ascii="Book Antiqua" w:hAnsi="Book Antiqua" w:cs="Times New Roman"/>
        </w:rPr>
        <w:t xml:space="preserve">indakan kebiri kimia dan pemasangan chip </w:t>
      </w:r>
      <w:r w:rsidR="00857227">
        <w:rPr>
          <w:rFonts w:ascii="Book Antiqua" w:hAnsi="Book Antiqua" w:cs="Times New Roman"/>
        </w:rPr>
        <w:t xml:space="preserve">pada dasarnya merupakan </w:t>
      </w:r>
      <w:r w:rsidR="001017C7" w:rsidRPr="00A63C06">
        <w:rPr>
          <w:rFonts w:ascii="Book Antiqua" w:hAnsi="Book Antiqua" w:cs="Times New Roman"/>
        </w:rPr>
        <w:t>pelang</w:t>
      </w:r>
      <w:r w:rsidR="00857227">
        <w:rPr>
          <w:rFonts w:ascii="Book Antiqua" w:hAnsi="Book Antiqua" w:cs="Times New Roman"/>
        </w:rPr>
        <w:t>garan Hak Asasi Manusia (“HAM”)</w:t>
      </w:r>
      <w:r w:rsidR="00542213">
        <w:rPr>
          <w:rFonts w:ascii="Book Antiqua" w:hAnsi="Book Antiqua" w:cs="Times New Roman"/>
          <w:shd w:val="clear" w:color="auto" w:fill="FFFFFF"/>
        </w:rPr>
        <w:t xml:space="preserve">, masuk dalam </w:t>
      </w:r>
      <w:r w:rsidR="00542213" w:rsidRPr="00542213">
        <w:rPr>
          <w:rFonts w:ascii="Book Antiqua" w:hAnsi="Book Antiqua" w:cs="Times New Roman"/>
        </w:rPr>
        <w:t xml:space="preserve">Konvensi Menentang Penyiksaan dan Perlakuan atau Penghukuman lain yang Kejam, </w:t>
      </w:r>
      <w:r w:rsidR="00542213" w:rsidRPr="00542213">
        <w:rPr>
          <w:rFonts w:ascii="Book Antiqua" w:hAnsi="Book Antiqua" w:cs="Times New Roman"/>
        </w:rPr>
        <w:lastRenderedPageBreak/>
        <w:t>Tidak Manusiawi ata</w:t>
      </w:r>
      <w:r w:rsidR="00542213">
        <w:rPr>
          <w:rFonts w:ascii="Book Antiqua" w:hAnsi="Book Antiqua" w:cs="Times New Roman"/>
        </w:rPr>
        <w:t xml:space="preserve">u Merendahkan Martabat Manusia. </w:t>
      </w:r>
      <w:r w:rsidR="00CF5B8C">
        <w:rPr>
          <w:rFonts w:ascii="Book Antiqua" w:hAnsi="Book Antiqua" w:cs="Times New Roman"/>
        </w:rPr>
        <w:t>Akan tetapi</w:t>
      </w:r>
      <w:r w:rsidR="001017C7" w:rsidRPr="00A63C06">
        <w:rPr>
          <w:rFonts w:ascii="Book Antiqua" w:hAnsi="Book Antiqua" w:cs="Times New Roman"/>
        </w:rPr>
        <w:t xml:space="preserve"> </w:t>
      </w:r>
      <w:r w:rsidR="00857227">
        <w:rPr>
          <w:rFonts w:ascii="Book Antiqua" w:hAnsi="Book Antiqua" w:cs="Times New Roman"/>
        </w:rPr>
        <w:t>pelaku pada saat melakukan kejahatan kekerasan seksual</w:t>
      </w:r>
      <w:r w:rsidR="001017C7" w:rsidRPr="00A63C06">
        <w:rPr>
          <w:rFonts w:ascii="Book Antiqua" w:hAnsi="Book Antiqua" w:cs="Times New Roman"/>
        </w:rPr>
        <w:t xml:space="preserve"> </w:t>
      </w:r>
      <w:r w:rsidR="00C93166">
        <w:rPr>
          <w:rFonts w:ascii="Book Antiqua" w:hAnsi="Book Antiqua" w:cs="Times New Roman"/>
        </w:rPr>
        <w:t>juga tidak memikirkan hak-hak anak yang telah dilindungi oleh negara.</w:t>
      </w:r>
      <w:r w:rsidR="00857227">
        <w:rPr>
          <w:rFonts w:ascii="Book Antiqua" w:hAnsi="Book Antiqua" w:cs="Times New Roman"/>
        </w:rPr>
        <w:t xml:space="preserve"> </w:t>
      </w:r>
      <w:r w:rsidR="00C93166">
        <w:rPr>
          <w:rFonts w:ascii="Book Antiqua" w:hAnsi="Book Antiqua" w:cs="Times New Roman"/>
        </w:rPr>
        <w:t>Sehingga pelaku dapat di berikan tindakan  berupa kebiri kimiawi sebab Undang-Undang telah mengaturnya dan terutama demi perlindungan anak agar tidak di rampas hak asasinya.</w:t>
      </w:r>
    </w:p>
    <w:p w:rsidR="00EC0660" w:rsidRDefault="0097464F" w:rsidP="000C6C9B">
      <w:pPr>
        <w:spacing w:after="0" w:line="240" w:lineRule="auto"/>
        <w:ind w:firstLine="720"/>
        <w:jc w:val="both"/>
        <w:rPr>
          <w:rFonts w:ascii="Book Antiqua" w:hAnsi="Book Antiqua" w:cs="Times New Roman"/>
        </w:rPr>
      </w:pPr>
      <w:r w:rsidRPr="0097464F">
        <w:rPr>
          <w:rFonts w:ascii="Book Antiqua" w:hAnsi="Book Antiqua" w:cs="Times New Roman"/>
        </w:rPr>
        <w:t>Pemidanaan dapat diartikan sebagai keseluruhan sistem aturan perundang-undangan yang mengatur bagaimana hukum pidana digerakkan atau dioperasionalkan secara konkret sehingga seseorang dijatuhi sanksi pidana. Secara singkat, “sistem pemidanaan” dapat diartikan sebagai “sistem pemberian atau penjatuhan pidana</w:t>
      </w:r>
      <w:r>
        <w:rPr>
          <w:rFonts w:ascii="Book Antiqua" w:hAnsi="Book Antiqua" w:cs="Times New Roman"/>
        </w:rPr>
        <w:t>.”</w:t>
      </w:r>
      <w:r>
        <w:rPr>
          <w:rStyle w:val="FootnoteReference"/>
          <w:rFonts w:ascii="Book Antiqua" w:hAnsi="Book Antiqua" w:cs="Times New Roman"/>
        </w:rPr>
        <w:footnoteReference w:id="10"/>
      </w:r>
      <w:r>
        <w:rPr>
          <w:rFonts w:ascii="Book Antiqua" w:hAnsi="Book Antiqua" w:cs="Times New Roman"/>
        </w:rPr>
        <w:t xml:space="preserve"> </w:t>
      </w:r>
      <w:r w:rsidR="000065CC" w:rsidRPr="00A63C06">
        <w:rPr>
          <w:rFonts w:ascii="Book Antiqua" w:hAnsi="Book Antiqua" w:cs="Times New Roman"/>
        </w:rPr>
        <w:t xml:space="preserve">Penggunaan aspek hukum pidana pada saat penjatuhan </w:t>
      </w:r>
      <w:r w:rsidR="00DE4141">
        <w:rPr>
          <w:rFonts w:ascii="Book Antiqua" w:hAnsi="Book Antiqua" w:cs="Times New Roman"/>
        </w:rPr>
        <w:t>sanksi</w:t>
      </w:r>
      <w:r w:rsidR="000065CC" w:rsidRPr="00A63C06">
        <w:rPr>
          <w:rFonts w:ascii="Book Antiqua" w:hAnsi="Book Antiqua" w:cs="Times New Roman"/>
        </w:rPr>
        <w:t xml:space="preserve"> ini</w:t>
      </w:r>
      <w:r w:rsidR="00033199" w:rsidRPr="00A63C06">
        <w:rPr>
          <w:rFonts w:ascii="Book Antiqua" w:hAnsi="Book Antiqua" w:cs="Times New Roman"/>
        </w:rPr>
        <w:t xml:space="preserve"> </w:t>
      </w:r>
      <w:r w:rsidR="000065CC" w:rsidRPr="00A63C06">
        <w:rPr>
          <w:rFonts w:ascii="Book Antiqua" w:hAnsi="Book Antiqua" w:cs="Times New Roman"/>
        </w:rPr>
        <w:t xml:space="preserve">haruslah sangat diperhatikan, </w:t>
      </w:r>
      <w:r w:rsidR="00DE4141">
        <w:rPr>
          <w:rFonts w:ascii="Book Antiqua" w:hAnsi="Book Antiqua" w:cs="Times New Roman"/>
        </w:rPr>
        <w:t>harus ada</w:t>
      </w:r>
      <w:r w:rsidR="000065CC" w:rsidRPr="00A63C06">
        <w:rPr>
          <w:rFonts w:ascii="Book Antiqua" w:hAnsi="Book Antiqua" w:cs="Times New Roman"/>
        </w:rPr>
        <w:t xml:space="preserve"> pert</w:t>
      </w:r>
      <w:r w:rsidR="00033199" w:rsidRPr="00A63C06">
        <w:rPr>
          <w:rFonts w:ascii="Book Antiqua" w:hAnsi="Book Antiqua" w:cs="Times New Roman"/>
        </w:rPr>
        <w:t xml:space="preserve">imbangan akan pengeluaran biaya </w:t>
      </w:r>
      <w:r w:rsidR="000065CC" w:rsidRPr="00A63C06">
        <w:rPr>
          <w:rFonts w:ascii="Book Antiqua" w:hAnsi="Book Antiqua" w:cs="Times New Roman"/>
        </w:rPr>
        <w:t xml:space="preserve">dan efektifitas hukuman, </w:t>
      </w:r>
      <w:r w:rsidR="001C724A">
        <w:rPr>
          <w:rFonts w:ascii="Book Antiqua" w:hAnsi="Book Antiqua" w:cs="Times New Roman"/>
        </w:rPr>
        <w:t>jug</w:t>
      </w:r>
      <w:r w:rsidR="000065CC" w:rsidRPr="00A63C06">
        <w:rPr>
          <w:rFonts w:ascii="Book Antiqua" w:hAnsi="Book Antiqua" w:cs="Times New Roman"/>
        </w:rPr>
        <w:t>a pertimbangan aka</w:t>
      </w:r>
      <w:r w:rsidR="00033199" w:rsidRPr="00A63C06">
        <w:rPr>
          <w:rFonts w:ascii="Book Antiqua" w:hAnsi="Book Antiqua" w:cs="Times New Roman"/>
        </w:rPr>
        <w:t xml:space="preserve">n kinerja aparat penegak hukum, </w:t>
      </w:r>
      <w:r w:rsidR="00DE4141">
        <w:rPr>
          <w:rFonts w:ascii="Book Antiqua" w:hAnsi="Book Antiqua" w:cs="Times New Roman"/>
        </w:rPr>
        <w:t>sebab dikhawatirkan</w:t>
      </w:r>
      <w:r w:rsidR="000065CC" w:rsidRPr="00A63C06">
        <w:rPr>
          <w:rFonts w:ascii="Book Antiqua" w:hAnsi="Book Antiqua" w:cs="Times New Roman"/>
        </w:rPr>
        <w:t xml:space="preserve"> akan terjadi ketidakseimbangan an</w:t>
      </w:r>
      <w:r w:rsidR="00033199" w:rsidRPr="00A63C06">
        <w:rPr>
          <w:rFonts w:ascii="Book Antiqua" w:hAnsi="Book Antiqua" w:cs="Times New Roman"/>
        </w:rPr>
        <w:t xml:space="preserve">tara tujuan pemidanaan dengan </w:t>
      </w:r>
      <w:r w:rsidR="00DE4141">
        <w:rPr>
          <w:rFonts w:ascii="Book Antiqua" w:hAnsi="Book Antiqua" w:cs="Times New Roman"/>
        </w:rPr>
        <w:t>implementasi penjatuhan sanksi pidananya</w:t>
      </w:r>
      <w:r w:rsidR="000065CC" w:rsidRPr="00A63C06">
        <w:rPr>
          <w:rFonts w:ascii="Book Antiqua" w:hAnsi="Book Antiqua" w:cs="Times New Roman"/>
        </w:rPr>
        <w:t>.</w:t>
      </w:r>
      <w:r w:rsidR="001C724A">
        <w:rPr>
          <w:rFonts w:ascii="Book Antiqua" w:hAnsi="Book Antiqua" w:cs="Times New Roman"/>
        </w:rPr>
        <w:t xml:space="preserve"> </w:t>
      </w:r>
      <w:r w:rsidR="000065CC" w:rsidRPr="00A63C06">
        <w:rPr>
          <w:rFonts w:ascii="Book Antiqua" w:hAnsi="Book Antiqua" w:cs="Times New Roman"/>
        </w:rPr>
        <w:t xml:space="preserve"> </w:t>
      </w:r>
      <w:r w:rsidR="001C724A" w:rsidRPr="001C724A">
        <w:rPr>
          <w:rFonts w:ascii="Book Antiqua" w:hAnsi="Book Antiqua" w:cs="Times New Roman"/>
        </w:rPr>
        <w:t xml:space="preserve">Menurut Herbet L.Packer, dalam penggunaan sanksi pidana harus memperhatikan syarat-syarat sebagai berikut: (1) perbuatan yang dilarang tersebut menurut pandangan sebagian besar anggota masyarakat secara menyolok dianggap membahayakan masyarakat dan tidak dibenarkan oleh apa saja yang oleh masyarakat dianggap penting; (2) penerapan sanksi pidana terhadap perbuatan tersebut konsisten dengan tujuan-tujuan pemidanaan; (3) pemberantasan terhadap perbuatan tersebut tidak akan menghalangi atau merintangi perilaku masyarakat yang diinginkan; (4) perilaku tersebut dapat </w:t>
      </w:r>
      <w:r w:rsidR="001C724A" w:rsidRPr="001C724A">
        <w:rPr>
          <w:rFonts w:ascii="Book Antiqua" w:hAnsi="Book Antiqua" w:cs="Times New Roman"/>
        </w:rPr>
        <w:lastRenderedPageBreak/>
        <w:t xml:space="preserve">dihadapi melalui cara yang tidak berat sebelah dan tidak bersifat diskriminatif; (5) pengaturan melalui proses hukum pidana tidak akan memberikan kesan memperberat baik secara kualitatif maupun secara kuantitatif; (6) tidak ada pilihan-pilihan yang beralasan daripada sanksi pidana tersebut guna menghadapi perilaku yang bersangkutan. </w:t>
      </w:r>
      <w:r w:rsidR="001C724A">
        <w:rPr>
          <w:rStyle w:val="FootnoteReference"/>
          <w:rFonts w:ascii="Book Antiqua" w:hAnsi="Book Antiqua" w:cs="Times New Roman"/>
        </w:rPr>
        <w:footnoteReference w:id="11"/>
      </w:r>
      <w:r w:rsidR="001C724A">
        <w:rPr>
          <w:rFonts w:ascii="Book Antiqua" w:hAnsi="Book Antiqua" w:cs="Times New Roman"/>
        </w:rPr>
        <w:t xml:space="preserve"> </w:t>
      </w:r>
      <w:r w:rsidR="001C724A" w:rsidRPr="001C724A">
        <w:rPr>
          <w:rFonts w:ascii="Book Antiqua" w:hAnsi="Book Antiqua" w:cs="Times New Roman"/>
        </w:rPr>
        <w:t xml:space="preserve">Ditinjau dari </w:t>
      </w:r>
      <w:r w:rsidR="001C724A">
        <w:rPr>
          <w:rFonts w:ascii="Book Antiqua" w:hAnsi="Book Antiqua" w:cs="Times New Roman"/>
        </w:rPr>
        <w:t>Pasal 10 K</w:t>
      </w:r>
      <w:r w:rsidR="004651C6">
        <w:rPr>
          <w:rFonts w:ascii="Book Antiqua" w:hAnsi="Book Antiqua" w:cs="Times New Roman"/>
        </w:rPr>
        <w:t>itab Undang-undang Hukum Pidana,</w:t>
      </w:r>
      <w:r w:rsidR="001C724A">
        <w:rPr>
          <w:rFonts w:ascii="Book Antiqua" w:hAnsi="Book Antiqua" w:cs="Times New Roman"/>
        </w:rPr>
        <w:t xml:space="preserve"> sanksi di bagi menjadi 2 yakni pidana pokok dan tambahan. Namun di dalam hukum pidana khusus</w:t>
      </w:r>
      <w:r w:rsidR="00EB2B7F">
        <w:rPr>
          <w:rFonts w:ascii="Book Antiqua" w:hAnsi="Book Antiqua" w:cs="Times New Roman"/>
        </w:rPr>
        <w:t>,</w:t>
      </w:r>
      <w:r w:rsidR="001C724A">
        <w:rPr>
          <w:rFonts w:ascii="Book Antiqua" w:hAnsi="Book Antiqua" w:cs="Times New Roman"/>
        </w:rPr>
        <w:t xml:space="preserve"> sanksi tidak hanya berupa pokok dan tambahan saja tapi bisa berupa tindakan. Dari  </w:t>
      </w:r>
      <w:r w:rsidR="001C724A" w:rsidRPr="001C724A">
        <w:rPr>
          <w:rFonts w:ascii="Book Antiqua" w:hAnsi="Book Antiqua" w:cs="Times New Roman"/>
        </w:rPr>
        <w:t>segi sifatnya, sanksi pidana dan tindakan memiliki sifat yang berbeda. Sanksi pidana lebih bersifat reaktif terhadap suatu perbuatan, sedangkan sanksi tindakan lebih bersifat antisipatif terhadap pelaku perbuatan. Sanksi pidana lebih tertuju terhadap perbuatan salah seseorang melalui pengenaan penderitaan atau nestapa agar pelaku tindak pidana menjadi jera, sedangkan sanksi tindakan lebih tertuju pada upaya memberi pertolongan agar pelaku tindak pidana dapat berubah ke arah yang lebih baik. Menurut David Garland, pemidanaan merupakan suatu proses hukum dimana pelaku tindak pidana dinyatakan bersalah dan dipidana sesuai kategori dan melalui prosedur hukum peraturan perundangundangan pidana. Menurut Muladi, sanksi pidana memiliki tujuan untuk memberikan penderitaan istimewa (</w:t>
      </w:r>
      <w:r w:rsidR="001C724A" w:rsidRPr="0097464F">
        <w:rPr>
          <w:rFonts w:ascii="Book Antiqua" w:hAnsi="Book Antiqua" w:cs="Times New Roman"/>
          <w:i/>
        </w:rPr>
        <w:t>bijzonder leed)</w:t>
      </w:r>
      <w:r w:rsidR="001C724A" w:rsidRPr="001C724A">
        <w:rPr>
          <w:rFonts w:ascii="Book Antiqua" w:hAnsi="Book Antiqua" w:cs="Times New Roman"/>
        </w:rPr>
        <w:t xml:space="preserve"> kepada pelaku tindak pidana, agar pelaku merasakan akibat dari</w:t>
      </w:r>
      <w:r w:rsidR="00EC0660">
        <w:rPr>
          <w:rFonts w:ascii="Book Antiqua" w:hAnsi="Book Antiqua" w:cs="Times New Roman"/>
        </w:rPr>
        <w:t xml:space="preserve"> perbuatan pidana yang dilakuka</w:t>
      </w:r>
      <w:r w:rsidR="001C724A" w:rsidRPr="001C724A">
        <w:rPr>
          <w:rFonts w:ascii="Book Antiqua" w:hAnsi="Book Antiqua" w:cs="Times New Roman"/>
        </w:rPr>
        <w:t xml:space="preserve">nnya. Menurut Beccaria, tujuan utama pemidanaan adalah untuk mencegah pelaku tindak pidana melakukan tindak pidana baru terhadap </w:t>
      </w:r>
      <w:r w:rsidR="001C724A" w:rsidRPr="001C724A">
        <w:rPr>
          <w:rFonts w:ascii="Book Antiqua" w:hAnsi="Book Antiqua" w:cs="Times New Roman"/>
        </w:rPr>
        <w:lastRenderedPageBreak/>
        <w:t>sesama warga negara dan untuk mencegah orang lain melakukan tindak pidana yang sama.</w:t>
      </w:r>
      <w:r w:rsidR="00EC0660">
        <w:rPr>
          <w:rStyle w:val="FootnoteReference"/>
          <w:rFonts w:ascii="Book Antiqua" w:hAnsi="Book Antiqua" w:cs="Times New Roman"/>
        </w:rPr>
        <w:footnoteReference w:id="12"/>
      </w:r>
    </w:p>
    <w:p w:rsidR="0097464F" w:rsidRDefault="0097464F" w:rsidP="000C6C9B">
      <w:pPr>
        <w:spacing w:after="0" w:line="240" w:lineRule="auto"/>
        <w:ind w:firstLine="720"/>
        <w:jc w:val="both"/>
        <w:rPr>
          <w:rFonts w:ascii="Book Antiqua" w:hAnsi="Book Antiqua" w:cs="Times New Roman"/>
          <w:i/>
        </w:rPr>
      </w:pPr>
      <w:r w:rsidRPr="0097464F">
        <w:rPr>
          <w:rFonts w:ascii="Book Antiqua" w:hAnsi="Book Antiqua" w:cs="Times New Roman"/>
        </w:rPr>
        <w:t xml:space="preserve">Menurut Bambang Purnomo dan J.M. van Bemmelen menyebutkan ada 3 (tiga) teori pemidanaan yang terdiri atas teori pembalasan atau </w:t>
      </w:r>
      <w:r w:rsidRPr="0097464F">
        <w:rPr>
          <w:rFonts w:ascii="Book Antiqua" w:hAnsi="Book Antiqua" w:cs="Times New Roman"/>
          <w:i/>
        </w:rPr>
        <w:t>absolute theorien/velgelding theorien</w:t>
      </w:r>
      <w:r w:rsidRPr="0097464F">
        <w:rPr>
          <w:rFonts w:ascii="Book Antiqua" w:hAnsi="Book Antiqua" w:cs="Times New Roman"/>
        </w:rPr>
        <w:t xml:space="preserve">, teori tujuan atau </w:t>
      </w:r>
      <w:r w:rsidRPr="0097464F">
        <w:rPr>
          <w:rFonts w:ascii="Book Antiqua" w:hAnsi="Book Antiqua" w:cs="Times New Roman"/>
          <w:i/>
        </w:rPr>
        <w:t>relative theorien/doel theorien</w:t>
      </w:r>
      <w:r w:rsidRPr="0097464F">
        <w:rPr>
          <w:rFonts w:ascii="Book Antiqua" w:hAnsi="Book Antiqua" w:cs="Times New Roman"/>
        </w:rPr>
        <w:t xml:space="preserve">, dan teori gabungan atau </w:t>
      </w:r>
      <w:r w:rsidRPr="0097464F">
        <w:rPr>
          <w:rFonts w:ascii="Book Antiqua" w:hAnsi="Book Antiqua" w:cs="Times New Roman"/>
          <w:i/>
        </w:rPr>
        <w:t>verenignings theorien</w:t>
      </w:r>
      <w:r>
        <w:rPr>
          <w:rStyle w:val="FootnoteReference"/>
          <w:rFonts w:ascii="Book Antiqua" w:hAnsi="Book Antiqua" w:cs="Times New Roman"/>
          <w:i/>
        </w:rPr>
        <w:footnoteReference w:id="13"/>
      </w:r>
      <w:r>
        <w:rPr>
          <w:rFonts w:ascii="Book Antiqua" w:hAnsi="Book Antiqua" w:cs="Times New Roman"/>
          <w:i/>
        </w:rPr>
        <w:t>:</w:t>
      </w:r>
    </w:p>
    <w:p w:rsidR="0097464F" w:rsidRPr="0097464F" w:rsidRDefault="0097464F" w:rsidP="000C6C9B">
      <w:pPr>
        <w:spacing w:after="0" w:line="240" w:lineRule="auto"/>
        <w:jc w:val="both"/>
        <w:rPr>
          <w:rFonts w:ascii="Book Antiqua" w:hAnsi="Book Antiqua" w:cs="Times New Roman"/>
          <w:lang w:val="en-US"/>
        </w:rPr>
      </w:pPr>
      <w:r>
        <w:rPr>
          <w:rFonts w:ascii="Book Antiqua" w:hAnsi="Book Antiqua" w:cs="Times New Roman"/>
          <w:i/>
        </w:rPr>
        <w:t xml:space="preserve">1. </w:t>
      </w:r>
      <w:proofErr w:type="spellStart"/>
      <w:r w:rsidRPr="0097464F">
        <w:rPr>
          <w:rFonts w:ascii="Book Antiqua" w:hAnsi="Book Antiqua" w:cs="Times New Roman"/>
          <w:lang w:val="en-US"/>
        </w:rPr>
        <w:t>Teori</w:t>
      </w:r>
      <w:proofErr w:type="spellEnd"/>
      <w:r w:rsidRPr="0097464F">
        <w:rPr>
          <w:rFonts w:ascii="Book Antiqua" w:hAnsi="Book Antiqua" w:cs="Times New Roman"/>
          <w:lang w:val="en-US"/>
        </w:rPr>
        <w:t xml:space="preserve"> </w:t>
      </w:r>
      <w:proofErr w:type="spellStart"/>
      <w:r w:rsidRPr="0097464F">
        <w:rPr>
          <w:rFonts w:ascii="Book Antiqua" w:hAnsi="Book Antiqua" w:cs="Times New Roman"/>
          <w:lang w:val="en-US"/>
        </w:rPr>
        <w:t>Pembalasan</w:t>
      </w:r>
      <w:proofErr w:type="spellEnd"/>
      <w:r w:rsidRPr="0097464F">
        <w:rPr>
          <w:rFonts w:ascii="Book Antiqua" w:hAnsi="Book Antiqua" w:cs="Times New Roman"/>
          <w:lang w:val="en-US"/>
        </w:rPr>
        <w:t xml:space="preserve"> (</w:t>
      </w:r>
      <w:r w:rsidRPr="0097464F">
        <w:rPr>
          <w:rFonts w:ascii="Book Antiqua" w:hAnsi="Book Antiqua" w:cs="Times New Roman"/>
          <w:i/>
          <w:lang w:val="en-US"/>
        </w:rPr>
        <w:t xml:space="preserve">Absolute </w:t>
      </w:r>
      <w:proofErr w:type="spellStart"/>
      <w:r w:rsidRPr="0097464F">
        <w:rPr>
          <w:rFonts w:ascii="Book Antiqua" w:hAnsi="Book Antiqua" w:cs="Times New Roman"/>
          <w:i/>
          <w:lang w:val="en-US"/>
        </w:rPr>
        <w:t>Theorien</w:t>
      </w:r>
      <w:proofErr w:type="spellEnd"/>
      <w:r w:rsidRPr="0097464F">
        <w:rPr>
          <w:rFonts w:ascii="Book Antiqua" w:hAnsi="Book Antiqua" w:cs="Times New Roman"/>
          <w:i/>
          <w:lang w:val="en-US"/>
        </w:rPr>
        <w:t>)</w:t>
      </w:r>
    </w:p>
    <w:p w:rsidR="00C71883" w:rsidRPr="00C71883" w:rsidRDefault="0097464F" w:rsidP="000C6C9B">
      <w:pPr>
        <w:spacing w:after="0" w:line="240" w:lineRule="auto"/>
        <w:jc w:val="both"/>
        <w:rPr>
          <w:rFonts w:ascii="Book Antiqua" w:hAnsi="Book Antiqua" w:cs="Times New Roman"/>
        </w:rPr>
      </w:pPr>
      <w:r w:rsidRPr="0097464F">
        <w:rPr>
          <w:rFonts w:ascii="Book Antiqua" w:hAnsi="Book Antiqua" w:cs="Times New Roman"/>
        </w:rPr>
        <w:t>Teori pembalasan sebagaimana menurut Johannes Andenaes  dalam buku karya Mulyadi dan Barda Nawawi Arief yang berjudul Teori-Teori dan Kebijakan Pidana, memiliki tujuan utama (</w:t>
      </w:r>
      <w:r w:rsidRPr="0097464F">
        <w:rPr>
          <w:rFonts w:ascii="Book Antiqua" w:hAnsi="Book Antiqua" w:cs="Times New Roman"/>
          <w:i/>
        </w:rPr>
        <w:t>primair</w:t>
      </w:r>
      <w:r w:rsidRPr="0097464F">
        <w:rPr>
          <w:rFonts w:ascii="Book Antiqua" w:hAnsi="Book Antiqua" w:cs="Times New Roman"/>
        </w:rPr>
        <w:t>) dari pidana menurut teori absolut ialah “untuk memuaskan tuntutan keadilan” (</w:t>
      </w:r>
      <w:r w:rsidRPr="0097464F">
        <w:rPr>
          <w:rFonts w:ascii="Book Antiqua" w:hAnsi="Book Antiqua" w:cs="Times New Roman"/>
          <w:i/>
        </w:rPr>
        <w:t>to satisfy the claims of justice</w:t>
      </w:r>
      <w:r w:rsidRPr="0097464F">
        <w:rPr>
          <w:rFonts w:ascii="Book Antiqua" w:hAnsi="Book Antiqua" w:cs="Times New Roman"/>
        </w:rPr>
        <w:t>) sedangkan pengaruh-pengaruh yang menguntungkan adalah sekunder</w:t>
      </w:r>
      <w:r w:rsidR="006D2397">
        <w:rPr>
          <w:rStyle w:val="FootnoteReference"/>
          <w:rFonts w:ascii="Book Antiqua" w:hAnsi="Book Antiqua" w:cs="Times New Roman"/>
        </w:rPr>
        <w:footnoteReference w:id="14"/>
      </w:r>
      <w:r w:rsidR="006D2397">
        <w:rPr>
          <w:rFonts w:ascii="Book Antiqua" w:hAnsi="Book Antiqua" w:cs="Times New Roman"/>
        </w:rPr>
        <w:t>. H</w:t>
      </w:r>
      <w:r w:rsidR="006D2397" w:rsidRPr="006D2397">
        <w:rPr>
          <w:rFonts w:ascii="Book Antiqua" w:hAnsi="Book Antiqua" w:cs="Times New Roman"/>
        </w:rPr>
        <w:t>ukuman merupakan hal mutlak yang harus dijatuhkan kepada orang yang telah melakukan tindak kejahatan sebagai suatu konsekuensi atas perbuatannya.</w:t>
      </w:r>
      <w:r w:rsidR="00C71883">
        <w:rPr>
          <w:rFonts w:ascii="Book Antiqua" w:hAnsi="Book Antiqua" w:cs="Times New Roman"/>
        </w:rPr>
        <w:t xml:space="preserve"> </w:t>
      </w:r>
      <w:r w:rsidR="00C71883" w:rsidRPr="00C71883">
        <w:rPr>
          <w:rFonts w:ascii="Book Antiqua" w:hAnsi="Book Antiqua" w:cs="Times New Roman"/>
        </w:rPr>
        <w:t>Karl O. Cristiansen mengidentifikasi lima ciri pokok dari teori absolut, yaitu:</w:t>
      </w:r>
    </w:p>
    <w:p w:rsidR="006E6729" w:rsidRPr="006E6729" w:rsidRDefault="00C71883" w:rsidP="000C6C9B">
      <w:pPr>
        <w:numPr>
          <w:ilvl w:val="0"/>
          <w:numId w:val="5"/>
        </w:numPr>
        <w:spacing w:after="0" w:line="240" w:lineRule="auto"/>
        <w:ind w:left="284" w:hanging="284"/>
        <w:jc w:val="both"/>
        <w:rPr>
          <w:rFonts w:ascii="Book Antiqua" w:hAnsi="Book Antiqua" w:cs="Times New Roman"/>
          <w:lang w:val="en-US"/>
        </w:rPr>
      </w:pPr>
      <w:r w:rsidRPr="00C71883">
        <w:rPr>
          <w:rFonts w:ascii="Book Antiqua" w:hAnsi="Book Antiqua" w:cs="Times New Roman"/>
        </w:rPr>
        <w:t>Tujuan pidana semata-mata untuk pembalasan;</w:t>
      </w:r>
    </w:p>
    <w:p w:rsidR="006E6729" w:rsidRPr="006E6729" w:rsidRDefault="00C71883" w:rsidP="000C6C9B">
      <w:pPr>
        <w:numPr>
          <w:ilvl w:val="0"/>
          <w:numId w:val="5"/>
        </w:numPr>
        <w:spacing w:after="0" w:line="240" w:lineRule="auto"/>
        <w:ind w:left="284" w:hanging="284"/>
        <w:jc w:val="both"/>
        <w:rPr>
          <w:rFonts w:ascii="Book Antiqua" w:hAnsi="Book Antiqua" w:cs="Times New Roman"/>
          <w:lang w:val="en-US"/>
        </w:rPr>
      </w:pPr>
      <w:r w:rsidRPr="006E6729">
        <w:rPr>
          <w:rFonts w:ascii="Book Antiqua" w:hAnsi="Book Antiqua" w:cs="Times New Roman"/>
        </w:rPr>
        <w:t>Pembatasan merupakan tujuan utama dan di dalamnya tidak mengandung sarana untuk tujuan la</w:t>
      </w:r>
      <w:r w:rsidR="006E6729">
        <w:rPr>
          <w:rFonts w:ascii="Book Antiqua" w:hAnsi="Book Antiqua" w:cs="Times New Roman"/>
        </w:rPr>
        <w:t>in seperti kesejahteraan rakyat</w:t>
      </w:r>
    </w:p>
    <w:p w:rsidR="006E6729" w:rsidRPr="006E6729" w:rsidRDefault="00C71883" w:rsidP="000C6C9B">
      <w:pPr>
        <w:numPr>
          <w:ilvl w:val="0"/>
          <w:numId w:val="5"/>
        </w:numPr>
        <w:spacing w:after="0" w:line="240" w:lineRule="auto"/>
        <w:ind w:left="284" w:hanging="284"/>
        <w:jc w:val="both"/>
        <w:rPr>
          <w:rFonts w:ascii="Book Antiqua" w:hAnsi="Book Antiqua" w:cs="Times New Roman"/>
          <w:lang w:val="en-US"/>
        </w:rPr>
      </w:pPr>
      <w:r w:rsidRPr="006E6729">
        <w:rPr>
          <w:rFonts w:ascii="Book Antiqua" w:hAnsi="Book Antiqua" w:cs="Times New Roman"/>
        </w:rPr>
        <w:t>Kesalahan moral sebagai satu-satunya syarat pemidanaan;</w:t>
      </w:r>
    </w:p>
    <w:p w:rsidR="006E6729" w:rsidRPr="006E6729" w:rsidRDefault="00C71883" w:rsidP="000C6C9B">
      <w:pPr>
        <w:numPr>
          <w:ilvl w:val="0"/>
          <w:numId w:val="5"/>
        </w:numPr>
        <w:spacing w:after="0" w:line="240" w:lineRule="auto"/>
        <w:ind w:left="284" w:hanging="284"/>
        <w:jc w:val="both"/>
        <w:rPr>
          <w:rFonts w:ascii="Book Antiqua" w:hAnsi="Book Antiqua" w:cs="Times New Roman"/>
          <w:lang w:val="en-US"/>
        </w:rPr>
      </w:pPr>
      <w:r w:rsidRPr="006E6729">
        <w:rPr>
          <w:rFonts w:ascii="Book Antiqua" w:hAnsi="Book Antiqua" w:cs="Times New Roman"/>
        </w:rPr>
        <w:t>Pidana harus disesuaikan dengan kesalahan si pelaku;</w:t>
      </w:r>
    </w:p>
    <w:p w:rsidR="006D2397" w:rsidRPr="006E6729" w:rsidRDefault="00C71883" w:rsidP="000C6C9B">
      <w:pPr>
        <w:numPr>
          <w:ilvl w:val="0"/>
          <w:numId w:val="5"/>
        </w:numPr>
        <w:spacing w:after="0" w:line="240" w:lineRule="auto"/>
        <w:ind w:left="284" w:hanging="284"/>
        <w:jc w:val="both"/>
        <w:rPr>
          <w:rFonts w:ascii="Book Antiqua" w:hAnsi="Book Antiqua" w:cs="Times New Roman"/>
          <w:lang w:val="en-US"/>
        </w:rPr>
      </w:pPr>
      <w:r w:rsidRPr="006E6729">
        <w:rPr>
          <w:rFonts w:ascii="Book Antiqua" w:hAnsi="Book Antiqua" w:cs="Times New Roman"/>
        </w:rPr>
        <w:t xml:space="preserve">Pidana melihat ke belakang, ia sebagai pencelaan yang murni dan bertujuan tidak untuk memperbaiki, </w:t>
      </w:r>
      <w:r w:rsidRPr="006E6729">
        <w:rPr>
          <w:rFonts w:ascii="Book Antiqua" w:hAnsi="Book Antiqua" w:cs="Times New Roman"/>
        </w:rPr>
        <w:lastRenderedPageBreak/>
        <w:t>mendidik, atau merosialisasi kembali pelangar.</w:t>
      </w:r>
      <w:r>
        <w:rPr>
          <w:rStyle w:val="FootnoteReference"/>
          <w:rFonts w:ascii="Book Antiqua" w:hAnsi="Book Antiqua" w:cs="Times New Roman"/>
        </w:rPr>
        <w:footnoteReference w:id="15"/>
      </w:r>
    </w:p>
    <w:p w:rsidR="006D2397" w:rsidRPr="006D2397" w:rsidRDefault="006D2397" w:rsidP="000C6C9B">
      <w:pPr>
        <w:spacing w:after="0" w:line="240" w:lineRule="auto"/>
        <w:jc w:val="both"/>
        <w:rPr>
          <w:rFonts w:ascii="Book Antiqua" w:hAnsi="Book Antiqua" w:cs="Times New Roman"/>
        </w:rPr>
      </w:pPr>
      <w:r>
        <w:rPr>
          <w:rFonts w:ascii="Book Antiqua" w:hAnsi="Book Antiqua" w:cs="Times New Roman"/>
        </w:rPr>
        <w:t xml:space="preserve">2. </w:t>
      </w:r>
      <w:proofErr w:type="spellStart"/>
      <w:r w:rsidRPr="006D2397">
        <w:rPr>
          <w:rFonts w:ascii="Book Antiqua" w:hAnsi="Book Antiqua" w:cs="Times New Roman"/>
          <w:lang w:val="en-US"/>
        </w:rPr>
        <w:t>Teori</w:t>
      </w:r>
      <w:proofErr w:type="spellEnd"/>
      <w:r w:rsidRPr="006D2397">
        <w:rPr>
          <w:rFonts w:ascii="Book Antiqua" w:hAnsi="Book Antiqua" w:cs="Times New Roman"/>
          <w:lang w:val="en-US"/>
        </w:rPr>
        <w:t xml:space="preserve"> </w:t>
      </w:r>
      <w:proofErr w:type="spellStart"/>
      <w:r w:rsidRPr="006D2397">
        <w:rPr>
          <w:rFonts w:ascii="Book Antiqua" w:hAnsi="Book Antiqua" w:cs="Times New Roman"/>
          <w:lang w:val="en-US"/>
        </w:rPr>
        <w:t>Tujuan</w:t>
      </w:r>
      <w:proofErr w:type="spellEnd"/>
      <w:r w:rsidRPr="006D2397">
        <w:rPr>
          <w:rFonts w:ascii="Book Antiqua" w:hAnsi="Book Antiqua" w:cs="Times New Roman"/>
          <w:lang w:val="en-US"/>
        </w:rPr>
        <w:t xml:space="preserve"> (</w:t>
      </w:r>
      <w:proofErr w:type="spellStart"/>
      <w:r w:rsidRPr="006D2397">
        <w:rPr>
          <w:rFonts w:ascii="Book Antiqua" w:hAnsi="Book Antiqua" w:cs="Times New Roman"/>
          <w:i/>
          <w:lang w:val="en-US"/>
        </w:rPr>
        <w:t>Relatieve</w:t>
      </w:r>
      <w:proofErr w:type="spellEnd"/>
      <w:r w:rsidRPr="006D2397">
        <w:rPr>
          <w:rFonts w:ascii="Book Antiqua" w:hAnsi="Book Antiqua" w:cs="Times New Roman"/>
          <w:i/>
          <w:lang w:val="en-US"/>
        </w:rPr>
        <w:t xml:space="preserve"> </w:t>
      </w:r>
      <w:proofErr w:type="spellStart"/>
      <w:r w:rsidRPr="006D2397">
        <w:rPr>
          <w:rFonts w:ascii="Book Antiqua" w:hAnsi="Book Antiqua" w:cs="Times New Roman"/>
          <w:i/>
          <w:lang w:val="en-US"/>
        </w:rPr>
        <w:t>Theorien</w:t>
      </w:r>
      <w:proofErr w:type="spellEnd"/>
      <w:r w:rsidRPr="006D2397">
        <w:rPr>
          <w:rFonts w:ascii="Book Antiqua" w:hAnsi="Book Antiqua" w:cs="Times New Roman"/>
          <w:lang w:val="en-US"/>
        </w:rPr>
        <w:t>)</w:t>
      </w:r>
    </w:p>
    <w:p w:rsidR="00EE5C61" w:rsidRDefault="006D2397" w:rsidP="000C6C9B">
      <w:pPr>
        <w:spacing w:after="0" w:line="240" w:lineRule="auto"/>
        <w:jc w:val="both"/>
        <w:rPr>
          <w:rFonts w:ascii="Times New Roman" w:eastAsiaTheme="minorEastAsia" w:hAnsi="Times New Roman" w:cs="Times New Roman"/>
          <w:sz w:val="24"/>
          <w:szCs w:val="24"/>
        </w:rPr>
      </w:pPr>
      <w:r w:rsidRPr="006D2397">
        <w:rPr>
          <w:rFonts w:ascii="Book Antiqua" w:hAnsi="Book Antiqua" w:cs="Times New Roman"/>
        </w:rPr>
        <w:t>Pidana bukanlah sekadar untuk melakukan pembalasan atau pengimbalan kepada orang yang telah melakukan suatu tindak pidana, tetapi mempunyai tujuan-tujuan tertentu yang bermanfaat. Oleh karena itu, teori ini sering juga disebut teori tujuan (</w:t>
      </w:r>
      <w:r w:rsidRPr="006D2397">
        <w:rPr>
          <w:rFonts w:ascii="Book Antiqua" w:hAnsi="Book Antiqua" w:cs="Times New Roman"/>
          <w:i/>
        </w:rPr>
        <w:t>Utilitarian Theory</w:t>
      </w:r>
      <w:r w:rsidRPr="006D2397">
        <w:rPr>
          <w:rFonts w:ascii="Book Antiqua" w:hAnsi="Book Antiqua" w:cs="Times New Roman"/>
        </w:rPr>
        <w:t>).</w:t>
      </w:r>
      <w:r w:rsidR="00C71883">
        <w:rPr>
          <w:rStyle w:val="FootnoteReference"/>
          <w:rFonts w:ascii="Book Antiqua" w:hAnsi="Book Antiqua" w:cs="Times New Roman"/>
        </w:rPr>
        <w:footnoteReference w:id="16"/>
      </w:r>
      <w:r w:rsidR="00EE5C61">
        <w:rPr>
          <w:rFonts w:ascii="Book Antiqua" w:hAnsi="Book Antiqua" w:cs="Times New Roman"/>
        </w:rPr>
        <w:t xml:space="preserve"> </w:t>
      </w:r>
      <w:r w:rsidR="00C71883" w:rsidRPr="00C71883">
        <w:rPr>
          <w:rFonts w:ascii="Book Antiqua" w:hAnsi="Book Antiqua" w:cs="Times New Roman"/>
        </w:rPr>
        <w:t>Berbeda dengan teori pembalasan, maka teori tujuan mempersoalkan akibat-akibat dari pemidanaan kepada penjahat atau kepada kepentingan masyarakat.</w:t>
      </w:r>
      <w:r w:rsidR="00C71883">
        <w:rPr>
          <w:rFonts w:ascii="Book Antiqua" w:hAnsi="Book Antiqua" w:cs="Times New Roman"/>
        </w:rPr>
        <w:t xml:space="preserve"> </w:t>
      </w:r>
      <w:r w:rsidR="006F43FE" w:rsidRPr="006F43FE">
        <w:rPr>
          <w:rFonts w:ascii="Book Antiqua" w:hAnsi="Book Antiqua" w:cs="Times New Roman"/>
        </w:rPr>
        <w:t>Selanjutnya Karl 0. Cristianses memberi ciri pokok atau karakeristik teori tujuan, yaitu:</w:t>
      </w:r>
      <w:r w:rsidR="006F43FE">
        <w:rPr>
          <w:rStyle w:val="FootnoteReference"/>
          <w:rFonts w:ascii="Book Antiqua" w:hAnsi="Book Antiqua" w:cs="Times New Roman"/>
        </w:rPr>
        <w:footnoteReference w:id="17"/>
      </w:r>
    </w:p>
    <w:p w:rsidR="006E6729" w:rsidRDefault="006F43FE" w:rsidP="000C6C9B">
      <w:pPr>
        <w:pStyle w:val="ListParagraph"/>
        <w:numPr>
          <w:ilvl w:val="0"/>
          <w:numId w:val="6"/>
        </w:numPr>
        <w:spacing w:after="0" w:line="240" w:lineRule="auto"/>
        <w:ind w:left="284" w:hanging="284"/>
        <w:jc w:val="both"/>
        <w:rPr>
          <w:rFonts w:ascii="Book Antiqua" w:hAnsi="Book Antiqua" w:cs="Times New Roman"/>
        </w:rPr>
      </w:pPr>
      <w:r w:rsidRPr="00EE5C61">
        <w:rPr>
          <w:rFonts w:ascii="Book Antiqua" w:hAnsi="Book Antiqua" w:cs="Times New Roman"/>
        </w:rPr>
        <w:t>Tujuan pidana adalah pencegahan (</w:t>
      </w:r>
      <w:r w:rsidRPr="00EE5C61">
        <w:rPr>
          <w:rFonts w:ascii="Book Antiqua" w:hAnsi="Book Antiqua" w:cs="Times New Roman"/>
          <w:i/>
        </w:rPr>
        <w:t>prevention</w:t>
      </w:r>
      <w:r w:rsidRPr="00EE5C61">
        <w:rPr>
          <w:rFonts w:ascii="Book Antiqua" w:hAnsi="Book Antiqua" w:cs="Times New Roman"/>
        </w:rPr>
        <w:t>),</w:t>
      </w:r>
      <w:r w:rsidR="006E6729">
        <w:rPr>
          <w:rFonts w:ascii="Book Antiqua" w:hAnsi="Book Antiqua" w:cs="Times New Roman"/>
        </w:rPr>
        <w:t>P</w:t>
      </w:r>
      <w:r w:rsidRPr="006E6729">
        <w:rPr>
          <w:rFonts w:ascii="Book Antiqua" w:hAnsi="Book Antiqua" w:cs="Times New Roman"/>
        </w:rPr>
        <w:t>encegahan bukan tujuan akhir tetapi hanya sebagai sarana untuk mencapai tujuan yang lebih tinggi yaitu kesejahteraan masyarakat,</w:t>
      </w:r>
    </w:p>
    <w:p w:rsidR="006E6729" w:rsidRDefault="006F43FE" w:rsidP="000C6C9B">
      <w:pPr>
        <w:pStyle w:val="ListParagraph"/>
        <w:numPr>
          <w:ilvl w:val="0"/>
          <w:numId w:val="6"/>
        </w:numPr>
        <w:spacing w:after="0" w:line="240" w:lineRule="auto"/>
        <w:ind w:left="284" w:hanging="284"/>
        <w:jc w:val="both"/>
        <w:rPr>
          <w:rFonts w:ascii="Book Antiqua" w:hAnsi="Book Antiqua" w:cs="Times New Roman"/>
        </w:rPr>
      </w:pPr>
      <w:r w:rsidRPr="006E6729">
        <w:rPr>
          <w:rFonts w:ascii="Book Antiqua" w:hAnsi="Book Antiqua" w:cs="Times New Roman"/>
        </w:rPr>
        <w:t xml:space="preserve">Hanya pelanggaran-pelanggaran hukum yang dapat dipersalahkan kepada si pelaku saja (misal karena sengaj atau </w:t>
      </w:r>
      <w:r w:rsidRPr="006E6729">
        <w:rPr>
          <w:rFonts w:ascii="Book Antiqua" w:hAnsi="Book Antiqua" w:cs="Times New Roman"/>
          <w:i/>
        </w:rPr>
        <w:t>culpa</w:t>
      </w:r>
      <w:r w:rsidRPr="006E6729">
        <w:rPr>
          <w:rFonts w:ascii="Book Antiqua" w:hAnsi="Book Antiqua" w:cs="Times New Roman"/>
        </w:rPr>
        <w:t>) yang memenuhi syarat untuk adanya pidana,</w:t>
      </w:r>
      <w:r w:rsidR="006E6729">
        <w:rPr>
          <w:rFonts w:ascii="Book Antiqua" w:hAnsi="Book Antiqua" w:cs="Times New Roman"/>
        </w:rPr>
        <w:t xml:space="preserve"> </w:t>
      </w:r>
      <w:r w:rsidRPr="006E6729">
        <w:rPr>
          <w:rFonts w:ascii="Book Antiqua" w:hAnsi="Book Antiqua" w:cs="Times New Roman"/>
        </w:rPr>
        <w:t>Pidana harus ditetapkan berdasar tujuannya sebagai alat untuk mencegah kejahatan,</w:t>
      </w:r>
    </w:p>
    <w:p w:rsidR="006C5C64" w:rsidRPr="006E6729" w:rsidRDefault="00EE5C61" w:rsidP="000C6C9B">
      <w:pPr>
        <w:pStyle w:val="ListParagraph"/>
        <w:numPr>
          <w:ilvl w:val="0"/>
          <w:numId w:val="6"/>
        </w:numPr>
        <w:spacing w:after="0" w:line="240" w:lineRule="auto"/>
        <w:ind w:left="284" w:hanging="284"/>
        <w:jc w:val="both"/>
        <w:rPr>
          <w:rFonts w:ascii="Book Antiqua" w:hAnsi="Book Antiqua" w:cs="Times New Roman"/>
        </w:rPr>
      </w:pPr>
      <w:r w:rsidRPr="006E6729">
        <w:rPr>
          <w:rFonts w:ascii="Book Antiqua" w:hAnsi="Book Antiqua" w:cs="Times New Roman"/>
        </w:rPr>
        <w:t>Pidana melihat ke muka (bersifat prospektif), pidana dapat mengandung unsur pencelaan, tetapi baik unsur maupun pencelaan maupun unsur pembalasan tidak dapat diterima apabila tidak membantu pencegahan kejahatan untuk kepentingan kesejahteraan masyarakat.</w:t>
      </w:r>
    </w:p>
    <w:p w:rsidR="006C5C64" w:rsidRPr="006E6729" w:rsidRDefault="006C5C64" w:rsidP="000C6C9B">
      <w:pPr>
        <w:jc w:val="both"/>
        <w:rPr>
          <w:rFonts w:ascii="Book Antiqua" w:hAnsi="Book Antiqua"/>
        </w:rPr>
      </w:pPr>
      <w:r w:rsidRPr="006E6729">
        <w:rPr>
          <w:rFonts w:ascii="Book Antiqua" w:hAnsi="Book Antiqua"/>
        </w:rPr>
        <w:t>3. Teori Gabungan (</w:t>
      </w:r>
      <w:r w:rsidRPr="006E6729">
        <w:rPr>
          <w:rFonts w:ascii="Book Antiqua" w:hAnsi="Book Antiqua"/>
          <w:i/>
        </w:rPr>
        <w:t>Verenignings Theorien)</w:t>
      </w:r>
    </w:p>
    <w:p w:rsidR="0097464F" w:rsidRDefault="006C5C64" w:rsidP="000C6C9B">
      <w:pPr>
        <w:spacing w:after="0" w:line="240" w:lineRule="auto"/>
        <w:ind w:firstLine="720"/>
        <w:jc w:val="both"/>
        <w:rPr>
          <w:rFonts w:ascii="Book Antiqua" w:hAnsi="Book Antiqua" w:cs="Times New Roman"/>
        </w:rPr>
      </w:pPr>
      <w:r w:rsidRPr="006C5C64">
        <w:rPr>
          <w:rFonts w:ascii="Book Antiqua" w:hAnsi="Book Antiqua" w:cs="Times New Roman"/>
        </w:rPr>
        <w:lastRenderedPageBreak/>
        <w:t>Keberatan-keberatan tehadap teori pembalasan dan teori tujuan, dapat menimbulkan aliran ketiga yang mendasarkan jalan pikiran bahwa pidana hendaknya didasarkan atas tujuan unsur-unsur pembalasan dan mempertahankan ketertiban masyarakat yang diterapkan secara kombinasi dengan menitikberatkan pada salah satu unsurnya tanpa menghilangkan unsur yang lain, maupun pada semua unsur yang ada.</w:t>
      </w:r>
      <w:r>
        <w:rPr>
          <w:rStyle w:val="FootnoteReference"/>
          <w:rFonts w:ascii="Book Antiqua" w:hAnsi="Book Antiqua" w:cs="Times New Roman"/>
        </w:rPr>
        <w:footnoteReference w:id="18"/>
      </w:r>
      <w:r w:rsidRPr="006C5C64">
        <w:rPr>
          <w:rFonts w:ascii="Times New Roman" w:hAnsi="Times New Roman" w:cs="Times New Roman"/>
          <w:sz w:val="24"/>
          <w:szCs w:val="24"/>
        </w:rPr>
        <w:t xml:space="preserve"> </w:t>
      </w:r>
      <w:r w:rsidRPr="006C5C64">
        <w:rPr>
          <w:rFonts w:ascii="Book Antiqua" w:hAnsi="Book Antiqua" w:cs="Times New Roman"/>
        </w:rPr>
        <w:t>Dasar tiap-tiap pidana ialah penderitaan yang beratnya sesuai dengan beratnya perbuatan yang dilakukan oleh terpidana. Tetapi sampai batas mana beratnya pidana dan beratnya perbuatan yang dilakukan oleh terpidana dapat diukur, ditentukan oleh apa yang berguna bagi masyarakat</w:t>
      </w:r>
      <w:r>
        <w:rPr>
          <w:rStyle w:val="FootnoteReference"/>
          <w:rFonts w:ascii="Book Antiqua" w:hAnsi="Book Antiqua" w:cs="Times New Roman"/>
        </w:rPr>
        <w:footnoteReference w:id="19"/>
      </w:r>
    </w:p>
    <w:p w:rsidR="006C5C64" w:rsidRDefault="006C5C64" w:rsidP="000C6C9B">
      <w:pPr>
        <w:spacing w:after="0" w:line="240" w:lineRule="auto"/>
        <w:jc w:val="both"/>
        <w:rPr>
          <w:rFonts w:ascii="Book Antiqua" w:hAnsi="Book Antiqua" w:cs="Times New Roman"/>
        </w:rPr>
      </w:pPr>
      <w:r w:rsidRPr="006C5C64">
        <w:rPr>
          <w:rFonts w:ascii="Book Antiqua" w:hAnsi="Book Antiqua" w:cs="Times New Roman"/>
        </w:rPr>
        <w:t>Teori ini menggunakan kedua teori tersebut di atas (teori absolut dan teori relatif) sebagai dasar pemidanaan, dengan pertimbangan bahwa kedua teori tersebut memiliki kelemahan-kelemahan, yaitu:</w:t>
      </w:r>
      <w:r>
        <w:rPr>
          <w:rStyle w:val="FootnoteReference"/>
          <w:rFonts w:ascii="Book Antiqua" w:hAnsi="Book Antiqua" w:cs="Times New Roman"/>
        </w:rPr>
        <w:footnoteReference w:id="20"/>
      </w:r>
    </w:p>
    <w:p w:rsidR="00665BAC" w:rsidRPr="00665BAC" w:rsidRDefault="006C5C64" w:rsidP="000C6C9B">
      <w:pPr>
        <w:numPr>
          <w:ilvl w:val="0"/>
          <w:numId w:val="7"/>
        </w:numPr>
        <w:spacing w:after="0" w:line="240" w:lineRule="auto"/>
        <w:ind w:left="284" w:hanging="284"/>
        <w:jc w:val="both"/>
        <w:rPr>
          <w:rFonts w:ascii="Book Antiqua" w:hAnsi="Book Antiqua" w:cs="Times New Roman"/>
          <w:lang w:val="en-US"/>
        </w:rPr>
      </w:pPr>
      <w:r w:rsidRPr="006C5C64">
        <w:rPr>
          <w:rFonts w:ascii="Book Antiqua" w:hAnsi="Book Antiqua" w:cs="Times New Roman"/>
        </w:rPr>
        <w:t>Kelemahan teori absolut adalah menimbulkan ketidak adilan karena dalam penjatuhan hukuman perlu mempertimbangkan bukti-bukti yang ada dan pembalasan yang dimaksud tidak harus negara yang melaksanakan.</w:t>
      </w:r>
    </w:p>
    <w:p w:rsidR="006C5C64" w:rsidRPr="00665BAC" w:rsidRDefault="006C5C64" w:rsidP="000C6C9B">
      <w:pPr>
        <w:numPr>
          <w:ilvl w:val="0"/>
          <w:numId w:val="7"/>
        </w:numPr>
        <w:spacing w:after="0" w:line="240" w:lineRule="auto"/>
        <w:ind w:left="284" w:hanging="284"/>
        <w:jc w:val="both"/>
        <w:rPr>
          <w:rFonts w:ascii="Book Antiqua" w:hAnsi="Book Antiqua" w:cs="Times New Roman"/>
          <w:lang w:val="en-US"/>
        </w:rPr>
      </w:pPr>
      <w:r w:rsidRPr="00665BAC">
        <w:rPr>
          <w:rFonts w:ascii="Book Antiqua" w:hAnsi="Book Antiqua" w:cs="Times New Roman"/>
        </w:rPr>
        <w:t>Kelemahan teori relatif yaitu dapat menimbulkan ketidakadilan karena pelaku tindak pidana ringan dapat dijatuhi hukuman berat, kepuasan masyarakat diabaikan jika tujuannya untuk memperbaiki masyarakat dan mencegah kejahatan dengan menakut-nakuti sulit dilaksanakan.</w:t>
      </w:r>
    </w:p>
    <w:p w:rsidR="00DE4141" w:rsidRPr="00DE4141" w:rsidRDefault="00DE7960" w:rsidP="000C6C9B">
      <w:pPr>
        <w:spacing w:after="0" w:line="240" w:lineRule="auto"/>
        <w:jc w:val="both"/>
        <w:rPr>
          <w:rFonts w:ascii="Book Antiqua" w:hAnsi="Book Antiqua" w:cs="Times New Roman"/>
        </w:rPr>
      </w:pPr>
      <w:r w:rsidRPr="00DE7960">
        <w:rPr>
          <w:rFonts w:ascii="Book Antiqua" w:hAnsi="Book Antiqua" w:cs="Times New Roman"/>
        </w:rPr>
        <w:lastRenderedPageBreak/>
        <w:t xml:space="preserve">Hukuman atau sanksi adalah sesuatu yang harus ada sebagai konsekuensi dilakukannya kejahatan, umumnya bersifat menakuti. Sebagai contoh pada masyarakat secara luas </w:t>
      </w:r>
      <w:r w:rsidR="00F82582">
        <w:rPr>
          <w:rFonts w:ascii="Book Antiqua" w:hAnsi="Book Antiqua" w:cs="Times New Roman"/>
        </w:rPr>
        <w:t xml:space="preserve">supaya </w:t>
      </w:r>
      <w:r w:rsidRPr="00DE7960">
        <w:rPr>
          <w:rFonts w:ascii="Book Antiqua" w:hAnsi="Book Antiqua" w:cs="Times New Roman"/>
        </w:rPr>
        <w:t xml:space="preserve">tidak meniru perbuatan </w:t>
      </w:r>
      <w:r w:rsidR="00F82582">
        <w:rPr>
          <w:rFonts w:ascii="Book Antiqua" w:hAnsi="Book Antiqua" w:cs="Times New Roman"/>
        </w:rPr>
        <w:t>jahat</w:t>
      </w:r>
      <w:r w:rsidRPr="00DE7960">
        <w:rPr>
          <w:rFonts w:ascii="Book Antiqua" w:hAnsi="Book Antiqua" w:cs="Times New Roman"/>
        </w:rPr>
        <w:t xml:space="preserve"> yang telah dilakukan. </w:t>
      </w:r>
      <w:r w:rsidR="00F82582">
        <w:rPr>
          <w:rFonts w:ascii="Book Antiqua" w:hAnsi="Book Antiqua" w:cs="Times New Roman"/>
        </w:rPr>
        <w:t>Sanksi</w:t>
      </w:r>
      <w:r w:rsidRPr="00DE7960">
        <w:rPr>
          <w:rFonts w:ascii="Book Antiqua" w:hAnsi="Book Antiqua" w:cs="Times New Roman"/>
        </w:rPr>
        <w:t xml:space="preserve"> kepada pelaku sendiri </w:t>
      </w:r>
      <w:r w:rsidR="00F82582">
        <w:rPr>
          <w:rFonts w:ascii="Book Antiqua" w:hAnsi="Book Antiqua" w:cs="Times New Roman"/>
        </w:rPr>
        <w:t>di berikan</w:t>
      </w:r>
      <w:r w:rsidRPr="00DE7960">
        <w:rPr>
          <w:rFonts w:ascii="Book Antiqua" w:hAnsi="Book Antiqua" w:cs="Times New Roman"/>
        </w:rPr>
        <w:t xml:space="preserve"> supaya</w:t>
      </w:r>
      <w:r w:rsidR="00F82582">
        <w:rPr>
          <w:rFonts w:ascii="Book Antiqua" w:hAnsi="Book Antiqua" w:cs="Times New Roman"/>
        </w:rPr>
        <w:t xml:space="preserve"> ada efek</w:t>
      </w:r>
      <w:r w:rsidRPr="00DE7960">
        <w:rPr>
          <w:rFonts w:ascii="Book Antiqua" w:hAnsi="Book Antiqua" w:cs="Times New Roman"/>
        </w:rPr>
        <w:t xml:space="preserve"> jera dan tidak mengulangi kejahatan. Serta sebagai upaya perlindungan </w:t>
      </w:r>
      <w:r w:rsidR="00F82582">
        <w:rPr>
          <w:rFonts w:ascii="Book Antiqua" w:hAnsi="Book Antiqua" w:cs="Times New Roman"/>
        </w:rPr>
        <w:t>kepada</w:t>
      </w:r>
      <w:r w:rsidRPr="00DE7960">
        <w:rPr>
          <w:rFonts w:ascii="Book Antiqua" w:hAnsi="Book Antiqua" w:cs="Times New Roman"/>
        </w:rPr>
        <w:t xml:space="preserve"> orang lain atau masyarakat pada umumnya</w:t>
      </w:r>
      <w:r w:rsidR="00F82582">
        <w:rPr>
          <w:rFonts w:ascii="Book Antiqua" w:hAnsi="Book Antiqua" w:cs="Times New Roman"/>
        </w:rPr>
        <w:t xml:space="preserve">, agar tidak merasa takut, </w:t>
      </w:r>
      <w:r w:rsidRPr="00DE7960">
        <w:rPr>
          <w:rFonts w:ascii="Book Antiqua" w:hAnsi="Book Antiqua" w:cs="Times New Roman"/>
        </w:rPr>
        <w:t>tidak mengalami kejahatan</w:t>
      </w:r>
      <w:r w:rsidR="00F82582">
        <w:rPr>
          <w:rFonts w:ascii="Book Antiqua" w:hAnsi="Book Antiqua" w:cs="Times New Roman"/>
        </w:rPr>
        <w:t xml:space="preserve"> dan tidak tersakiti</w:t>
      </w:r>
      <w:r w:rsidRPr="00DE7960">
        <w:rPr>
          <w:rFonts w:ascii="Book Antiqua" w:hAnsi="Book Antiqua" w:cs="Times New Roman"/>
        </w:rPr>
        <w:t xml:space="preserve">. </w:t>
      </w:r>
      <w:r w:rsidR="00F82582">
        <w:rPr>
          <w:rFonts w:ascii="Book Antiqua" w:hAnsi="Book Antiqua" w:cs="Times New Roman"/>
        </w:rPr>
        <w:t xml:space="preserve">Pelaku </w:t>
      </w:r>
      <w:r w:rsidR="00C60748" w:rsidRPr="00C60748">
        <w:rPr>
          <w:rFonts w:ascii="Book Antiqua" w:hAnsi="Book Antiqua" w:cs="Times New Roman"/>
        </w:rPr>
        <w:t xml:space="preserve">yang melakukan tindak </w:t>
      </w:r>
      <w:r w:rsidR="00F82582">
        <w:rPr>
          <w:rFonts w:ascii="Book Antiqua" w:hAnsi="Book Antiqua" w:cs="Times New Roman"/>
        </w:rPr>
        <w:t xml:space="preserve">pidana </w:t>
      </w:r>
      <w:r w:rsidR="00C60748" w:rsidRPr="00C60748">
        <w:rPr>
          <w:rFonts w:ascii="Book Antiqua" w:hAnsi="Book Antiqua" w:cs="Times New Roman"/>
        </w:rPr>
        <w:t xml:space="preserve">kekerasan seksual </w:t>
      </w:r>
      <w:r w:rsidR="00F82582">
        <w:rPr>
          <w:rFonts w:ascii="Book Antiqua" w:hAnsi="Book Antiqua" w:cs="Times New Roman"/>
        </w:rPr>
        <w:t>dapat dikenai sanksi pidana berupa kebiri</w:t>
      </w:r>
      <w:r w:rsidR="00C60748" w:rsidRPr="00C60748">
        <w:rPr>
          <w:rFonts w:ascii="Book Antiqua" w:hAnsi="Book Antiqua" w:cs="Times New Roman"/>
        </w:rPr>
        <w:t>, dari aspek HAM dapat dipahami sebagai upaya penjatuhan pidana bertitik pangkal pada pembalasan (</w:t>
      </w:r>
      <w:r w:rsidR="00C60748" w:rsidRPr="00C74766">
        <w:rPr>
          <w:rFonts w:ascii="Book Antiqua" w:hAnsi="Book Antiqua" w:cs="Times New Roman"/>
          <w:i/>
        </w:rPr>
        <w:t>vergeld</w:t>
      </w:r>
      <w:r w:rsidR="00C74766" w:rsidRPr="00C74766">
        <w:rPr>
          <w:rFonts w:ascii="Book Antiqua" w:hAnsi="Book Antiqua" w:cs="Times New Roman"/>
          <w:i/>
        </w:rPr>
        <w:t>ings</w:t>
      </w:r>
      <w:r w:rsidR="00C74766">
        <w:rPr>
          <w:rFonts w:ascii="Book Antiqua" w:hAnsi="Book Antiqua" w:cs="Times New Roman"/>
        </w:rPr>
        <w:t>) yang memberikan efek jera</w:t>
      </w:r>
      <w:r w:rsidR="00C60748" w:rsidRPr="00C60748">
        <w:rPr>
          <w:rFonts w:ascii="Book Antiqua" w:hAnsi="Book Antiqua" w:cs="Times New Roman"/>
        </w:rPr>
        <w:t xml:space="preserve"> terhadap perbuatan pidana yang dilakukan. Di samping penghukuman dengan unsur pembalasan (</w:t>
      </w:r>
      <w:r w:rsidR="00C60748" w:rsidRPr="00C74766">
        <w:rPr>
          <w:rFonts w:ascii="Book Antiqua" w:hAnsi="Book Antiqua" w:cs="Times New Roman"/>
          <w:i/>
        </w:rPr>
        <w:t>vergeldings)</w:t>
      </w:r>
      <w:r w:rsidR="00C60748" w:rsidRPr="00C60748">
        <w:rPr>
          <w:rFonts w:ascii="Book Antiqua" w:hAnsi="Book Antiqua" w:cs="Times New Roman"/>
        </w:rPr>
        <w:t xml:space="preserve"> yang diberikan tersebut, juga diharapkan dapat memperbaiki pelaku atas perbuatan p</w:t>
      </w:r>
      <w:r w:rsidR="000C6C9B">
        <w:rPr>
          <w:rFonts w:ascii="Book Antiqua" w:hAnsi="Book Antiqua" w:cs="Times New Roman"/>
        </w:rPr>
        <w:t xml:space="preserve">idana yang dilakukan sehingga </w:t>
      </w:r>
      <w:r w:rsidR="00C60748" w:rsidRPr="00C60748">
        <w:rPr>
          <w:rFonts w:ascii="Book Antiqua" w:hAnsi="Book Antiqua" w:cs="Times New Roman"/>
        </w:rPr>
        <w:t xml:space="preserve"> pelaku dapat diterima dengan </w:t>
      </w:r>
      <w:r w:rsidR="00C74766">
        <w:rPr>
          <w:rFonts w:ascii="Book Antiqua" w:hAnsi="Book Antiqua" w:cs="Times New Roman"/>
        </w:rPr>
        <w:t>baik kembali dalam masyarakat. P</w:t>
      </w:r>
      <w:r w:rsidR="00C60748" w:rsidRPr="00C60748">
        <w:rPr>
          <w:rFonts w:ascii="Book Antiqua" w:hAnsi="Book Antiqua" w:cs="Times New Roman"/>
        </w:rPr>
        <w:t xml:space="preserve">elaku tindak </w:t>
      </w:r>
      <w:r w:rsidR="00C74766">
        <w:rPr>
          <w:rFonts w:ascii="Book Antiqua" w:hAnsi="Book Antiqua" w:cs="Times New Roman"/>
        </w:rPr>
        <w:t xml:space="preserve">pidana </w:t>
      </w:r>
      <w:r w:rsidR="00C60748" w:rsidRPr="00C60748">
        <w:rPr>
          <w:rFonts w:ascii="Book Antiqua" w:hAnsi="Book Antiqua" w:cs="Times New Roman"/>
        </w:rPr>
        <w:t xml:space="preserve">kekerasan seksual </w:t>
      </w:r>
      <w:r w:rsidR="00F82582">
        <w:rPr>
          <w:rFonts w:ascii="Book Antiqua" w:hAnsi="Book Antiqua" w:cs="Times New Roman"/>
        </w:rPr>
        <w:t>terhadap</w:t>
      </w:r>
      <w:r w:rsidR="00C60748" w:rsidRPr="00C60748">
        <w:rPr>
          <w:rFonts w:ascii="Book Antiqua" w:hAnsi="Book Antiqua" w:cs="Times New Roman"/>
        </w:rPr>
        <w:t xml:space="preserve"> anak </w:t>
      </w:r>
      <w:r w:rsidR="00C74766">
        <w:rPr>
          <w:rFonts w:ascii="Book Antiqua" w:hAnsi="Book Antiqua" w:cs="Times New Roman"/>
        </w:rPr>
        <w:t>yang</w:t>
      </w:r>
      <w:r w:rsidR="00C60748" w:rsidRPr="00C60748">
        <w:rPr>
          <w:rFonts w:ascii="Book Antiqua" w:hAnsi="Book Antiqua" w:cs="Times New Roman"/>
        </w:rPr>
        <w:t xml:space="preserve"> dijatuhi sanksi pidana (kebiri), dari perspektif HAM merupakan tindakan dalam rangka memberikan perlindungan hak asasi yang tidak dapat dikurangi (</w:t>
      </w:r>
      <w:r w:rsidR="00C60748" w:rsidRPr="00C74766">
        <w:rPr>
          <w:rFonts w:ascii="Book Antiqua" w:hAnsi="Book Antiqua" w:cs="Times New Roman"/>
          <w:i/>
        </w:rPr>
        <w:t>non derogable rights)</w:t>
      </w:r>
      <w:r w:rsidR="00C60748" w:rsidRPr="00C60748">
        <w:rPr>
          <w:rFonts w:ascii="Book Antiqua" w:hAnsi="Book Antiqua" w:cs="Times New Roman"/>
        </w:rPr>
        <w:t xml:space="preserve"> </w:t>
      </w:r>
      <w:r w:rsidR="000C6C9B">
        <w:rPr>
          <w:rFonts w:ascii="Book Antiqua" w:hAnsi="Book Antiqua" w:cs="Times New Roman"/>
        </w:rPr>
        <w:t xml:space="preserve">kepada </w:t>
      </w:r>
      <w:r w:rsidR="00C60748" w:rsidRPr="00C60748">
        <w:rPr>
          <w:rFonts w:ascii="Book Antiqua" w:hAnsi="Book Antiqua" w:cs="Times New Roman"/>
        </w:rPr>
        <w:t>k</w:t>
      </w:r>
      <w:r w:rsidR="00C74766">
        <w:rPr>
          <w:rFonts w:ascii="Book Antiqua" w:hAnsi="Book Antiqua" w:cs="Times New Roman"/>
        </w:rPr>
        <w:t xml:space="preserve">orban, yaitu hak dasar asasi </w:t>
      </w:r>
      <w:r w:rsidR="00C60748" w:rsidRPr="00C60748">
        <w:rPr>
          <w:rFonts w:ascii="Book Antiqua" w:hAnsi="Book Antiqua" w:cs="Times New Roman"/>
        </w:rPr>
        <w:t>korban yang dianugerahi Tuhan seperti hak untuk reproduksi. Namun disisi lain, dapat dinyatakan bahwa pemberian sanksi pidana (kebiri)</w:t>
      </w:r>
      <w:r w:rsidR="00C74766">
        <w:rPr>
          <w:rFonts w:ascii="Book Antiqua" w:hAnsi="Book Antiqua" w:cs="Times New Roman"/>
        </w:rPr>
        <w:t xml:space="preserve"> </w:t>
      </w:r>
      <w:r w:rsidR="00C60748" w:rsidRPr="00C60748">
        <w:rPr>
          <w:rFonts w:ascii="Book Antiqua" w:hAnsi="Book Antiqua" w:cs="Times New Roman"/>
        </w:rPr>
        <w:t>merupakan pengurangan atau pembatasan hak asasi</w:t>
      </w:r>
      <w:r w:rsidR="000C6C9B">
        <w:rPr>
          <w:rFonts w:ascii="Book Antiqua" w:hAnsi="Book Antiqua" w:cs="Times New Roman"/>
        </w:rPr>
        <w:t xml:space="preserve"> </w:t>
      </w:r>
      <w:r w:rsidR="00C60748" w:rsidRPr="00C60748">
        <w:rPr>
          <w:rFonts w:ascii="Book Antiqua" w:hAnsi="Book Antiqua" w:cs="Times New Roman"/>
        </w:rPr>
        <w:t>(</w:t>
      </w:r>
      <w:r w:rsidR="00C60748" w:rsidRPr="00C74766">
        <w:rPr>
          <w:rFonts w:ascii="Book Antiqua" w:hAnsi="Book Antiqua" w:cs="Times New Roman"/>
          <w:i/>
        </w:rPr>
        <w:t>derogable rights</w:t>
      </w:r>
      <w:r w:rsidR="00C60748" w:rsidRPr="00C60748">
        <w:rPr>
          <w:rFonts w:ascii="Book Antiqua" w:hAnsi="Book Antiqua" w:cs="Times New Roman"/>
        </w:rPr>
        <w:t>) yang diberikan</w:t>
      </w:r>
      <w:r w:rsidR="00F82582">
        <w:rPr>
          <w:rFonts w:ascii="Book Antiqua" w:hAnsi="Book Antiqua" w:cs="Times New Roman"/>
        </w:rPr>
        <w:t xml:space="preserve"> </w:t>
      </w:r>
      <w:r w:rsidR="00C60748" w:rsidRPr="00C60748">
        <w:rPr>
          <w:rFonts w:ascii="Book Antiqua" w:hAnsi="Book Antiqua" w:cs="Times New Roman"/>
        </w:rPr>
        <w:t>kepada si pelaku, karena sebagai kompensasi atas kesalahan</w:t>
      </w:r>
      <w:r w:rsidR="00C60748">
        <w:rPr>
          <w:rFonts w:ascii="Book Antiqua" w:hAnsi="Book Antiqua" w:cs="Times New Roman"/>
        </w:rPr>
        <w:t xml:space="preserve"> </w:t>
      </w:r>
      <w:r w:rsidR="00C60748" w:rsidRPr="00C60748">
        <w:rPr>
          <w:rFonts w:ascii="Book Antiqua" w:hAnsi="Book Antiqua" w:cs="Times New Roman"/>
        </w:rPr>
        <w:t>perbuatannya</w:t>
      </w:r>
      <w:r w:rsidR="00F82582">
        <w:rPr>
          <w:rFonts w:ascii="Book Antiqua" w:hAnsi="Book Antiqua" w:cs="Times New Roman"/>
        </w:rPr>
        <w:t xml:space="preserve"> </w:t>
      </w:r>
      <w:r w:rsidR="00C60748" w:rsidRPr="00C60748">
        <w:rPr>
          <w:rFonts w:ascii="Book Antiqua" w:hAnsi="Book Antiqua" w:cs="Times New Roman"/>
        </w:rPr>
        <w:t>yang telah mengancam rasa aman dan tumbuh kembang hidup anak. Pengurangan ata</w:t>
      </w:r>
      <w:r w:rsidR="000C6C9B">
        <w:rPr>
          <w:rFonts w:ascii="Book Antiqua" w:hAnsi="Book Antiqua" w:cs="Times New Roman"/>
        </w:rPr>
        <w:t>u pembatasan hak asasi kepada</w:t>
      </w:r>
      <w:r w:rsidR="00C60748" w:rsidRPr="00C60748">
        <w:rPr>
          <w:rFonts w:ascii="Book Antiqua" w:hAnsi="Book Antiqua" w:cs="Times New Roman"/>
        </w:rPr>
        <w:t xml:space="preserve"> pelaku dengan penjatuhan sanksi pidana (kebiri), bertujuan unt</w:t>
      </w:r>
      <w:r w:rsidR="000C6C9B">
        <w:rPr>
          <w:rFonts w:ascii="Book Antiqua" w:hAnsi="Book Antiqua" w:cs="Times New Roman"/>
        </w:rPr>
        <w:t xml:space="preserve">uk upaya pencegahan perilaku </w:t>
      </w:r>
      <w:r w:rsidR="00C60748" w:rsidRPr="00C60748">
        <w:rPr>
          <w:rFonts w:ascii="Book Antiqua" w:hAnsi="Book Antiqua" w:cs="Times New Roman"/>
        </w:rPr>
        <w:t xml:space="preserve">pelaku ketika keluar dari penjara tidak lagi menjadi </w:t>
      </w:r>
      <w:r w:rsidR="00C60748" w:rsidRPr="00C60748">
        <w:rPr>
          <w:rFonts w:ascii="Book Antiqua" w:hAnsi="Book Antiqua" w:cs="Times New Roman"/>
        </w:rPr>
        <w:lastRenderedPageBreak/>
        <w:t>predator kekerasan seksual pada anak. Dalam pengenaan sanksi pidana (kebiri), diterapkan penjatuhan sanksi pidana (kebiri) kimia dan pemasangan alat</w:t>
      </w:r>
      <w:r w:rsidR="00C60748">
        <w:rPr>
          <w:rFonts w:ascii="Book Antiqua" w:hAnsi="Book Antiqua" w:cs="Times New Roman"/>
        </w:rPr>
        <w:t xml:space="preserve"> </w:t>
      </w:r>
      <w:r w:rsidR="00C60748" w:rsidRPr="00C60748">
        <w:rPr>
          <w:rFonts w:ascii="Book Antiqua" w:hAnsi="Book Antiqua" w:cs="Times New Roman"/>
        </w:rPr>
        <w:t>endeteksi pelaku (Chip) sebagaimana</w:t>
      </w:r>
      <w:r w:rsidR="00C60748">
        <w:rPr>
          <w:rFonts w:ascii="Book Antiqua" w:hAnsi="Book Antiqua" w:cs="Times New Roman"/>
        </w:rPr>
        <w:t xml:space="preserve"> </w:t>
      </w:r>
      <w:r w:rsidR="00C60748" w:rsidRPr="00C60748">
        <w:rPr>
          <w:rFonts w:ascii="Book Antiqua" w:hAnsi="Book Antiqua" w:cs="Times New Roman"/>
        </w:rPr>
        <w:t>diatur dalam Pasal 81 ayat (7)Perpu Nomor 1 Tahun 2016 tentang Perubahan Kedua Atas Undang-Undang Nomor 23 Tahun 23 Tahun 2002 tentang Perlindungan Anak.</w:t>
      </w:r>
      <w:r w:rsidR="00F82582">
        <w:rPr>
          <w:rFonts w:ascii="Book Antiqua" w:hAnsi="Book Antiqua" w:cs="Times New Roman"/>
        </w:rPr>
        <w:t xml:space="preserve"> </w:t>
      </w:r>
      <w:r w:rsidR="00C60748" w:rsidRPr="00C60748">
        <w:rPr>
          <w:rFonts w:ascii="Book Antiqua" w:hAnsi="Book Antiqua" w:cs="Times New Roman"/>
        </w:rPr>
        <w:t xml:space="preserve">Pengenaan sanksi pidana pada ketentuan ini,dimaksudkan dalam rangka mengantisipasi dan memberikan tindakan represif terhadap peristiwa-peristiwa tindak kekerasan seksual terhadap anak yang sedang terjadi di tanah air </w:t>
      </w:r>
      <w:r w:rsidR="00F82582">
        <w:rPr>
          <w:rFonts w:ascii="Book Antiqua" w:hAnsi="Book Antiqua" w:cs="Times New Roman"/>
        </w:rPr>
        <w:t>semakin</w:t>
      </w:r>
      <w:r w:rsidR="00C60748" w:rsidRPr="00C60748">
        <w:rPr>
          <w:rFonts w:ascii="Book Antiqua" w:hAnsi="Book Antiqua" w:cs="Times New Roman"/>
        </w:rPr>
        <w:t xml:space="preserve"> meningkat jumlahnya, yang diberitakan di berbagai media dan mendapatkan perhatian serius dari kalangan masyarakat, karena dipandang sebagai tindak kejahatan yang </w:t>
      </w:r>
      <w:r w:rsidR="00F82582">
        <w:rPr>
          <w:rFonts w:ascii="Book Antiqua" w:hAnsi="Book Antiqua" w:cs="Times New Roman"/>
        </w:rPr>
        <w:t xml:space="preserve">keji </w:t>
      </w:r>
      <w:r w:rsidR="00C60748" w:rsidRPr="00C60748">
        <w:rPr>
          <w:rFonts w:ascii="Book Antiqua" w:hAnsi="Book Antiqua" w:cs="Times New Roman"/>
        </w:rPr>
        <w:t>dan meresahkan keamanan masyarakat.</w:t>
      </w:r>
      <w:r w:rsidR="00F82582">
        <w:rPr>
          <w:rFonts w:ascii="Book Antiqua" w:hAnsi="Book Antiqua" w:cs="Times New Roman"/>
        </w:rPr>
        <w:t xml:space="preserve"> </w:t>
      </w:r>
      <w:r w:rsidRPr="00DE7960">
        <w:rPr>
          <w:rFonts w:ascii="Book Antiqua" w:hAnsi="Book Antiqua" w:cs="Times New Roman"/>
        </w:rPr>
        <w:t>Tujuan pemidanaan dimaksudkan untuk memperbaiki sikap dan tingkah laku terpidana dan di pihak lain pemidanaan itu juga dimaksudkan untuk mencegah orang lain dari kemungkinan melakukan perbuatan yang serupa. Sanksi yang tepat akan mencegah para pelaku kejahatan melakukan kejahatan lagi dan mencegah orang lain melakukan kejahatan.</w:t>
      </w:r>
      <w:r w:rsidR="00DE4141">
        <w:rPr>
          <w:rFonts w:ascii="Book Antiqua" w:hAnsi="Book Antiqua" w:cs="Times New Roman"/>
        </w:rPr>
        <w:t xml:space="preserve"> </w:t>
      </w:r>
      <w:r w:rsidR="00DE4141" w:rsidRPr="00DE4141">
        <w:rPr>
          <w:rFonts w:ascii="Book Antiqua" w:hAnsi="Book Antiqua" w:cs="Times New Roman"/>
        </w:rPr>
        <w:t>Peraturan mengenai sanksi kebiri terhadap pelaku merupakan upaya perlindungan terhadap anak agar tidak menjadi korban kekerasan seksual.</w:t>
      </w:r>
      <w:r w:rsidR="00470C14">
        <w:rPr>
          <w:rFonts w:ascii="Book Antiqua" w:hAnsi="Book Antiqua" w:cs="Times New Roman"/>
        </w:rPr>
        <w:t xml:space="preserve"> Sehingga sudah sepantasnya pelaku kekerasan seksual terhadap anak yang memenuhi kualifikasi dalam </w:t>
      </w:r>
      <w:r w:rsidR="00470C14" w:rsidRPr="00470C14">
        <w:rPr>
          <w:rFonts w:ascii="Book Antiqua" w:hAnsi="Book Antiqua" w:cs="Times New Roman"/>
        </w:rPr>
        <w:t xml:space="preserve">Perpu No.1 Tahun 2016 Jo. </w:t>
      </w:r>
      <w:r w:rsidR="00470C14">
        <w:rPr>
          <w:rFonts w:ascii="Book Antiqua" w:hAnsi="Book Antiqua" w:cs="Times New Roman"/>
        </w:rPr>
        <w:t>Undang-Undang No.17 Tahun 2016 di kenakan pidana kebiri agar tingkat kejahatan khususnya kekerasan seksual terhadap anak ini dapat berkurang.</w:t>
      </w:r>
    </w:p>
    <w:p w:rsidR="000065CC" w:rsidRPr="00A63C06" w:rsidRDefault="000065CC" w:rsidP="000C6C9B">
      <w:pPr>
        <w:spacing w:after="0" w:line="240" w:lineRule="auto"/>
        <w:jc w:val="both"/>
        <w:rPr>
          <w:rFonts w:ascii="Book Antiqua" w:hAnsi="Book Antiqua" w:cs="Times New Roman"/>
        </w:rPr>
      </w:pPr>
    </w:p>
    <w:p w:rsidR="000065CC" w:rsidRPr="007F0DD2" w:rsidRDefault="007F0DD2" w:rsidP="000C6C9B">
      <w:pPr>
        <w:spacing w:after="0" w:line="240" w:lineRule="auto"/>
        <w:jc w:val="both"/>
        <w:rPr>
          <w:rFonts w:ascii="Book Antiqua" w:hAnsi="Book Antiqua" w:cs="Times New Roman"/>
          <w:b/>
        </w:rPr>
      </w:pPr>
      <w:r w:rsidRPr="007F0DD2">
        <w:rPr>
          <w:rFonts w:ascii="Book Antiqua" w:hAnsi="Book Antiqua" w:cs="Times New Roman"/>
          <w:b/>
        </w:rPr>
        <w:t>Penutup</w:t>
      </w:r>
    </w:p>
    <w:p w:rsidR="007F0DD2" w:rsidRPr="00A63C06" w:rsidRDefault="007F0DD2" w:rsidP="000C6C9B">
      <w:pPr>
        <w:spacing w:after="0" w:line="240" w:lineRule="auto"/>
        <w:jc w:val="both"/>
        <w:rPr>
          <w:rFonts w:ascii="Book Antiqua" w:hAnsi="Book Antiqua" w:cs="Times New Roman"/>
        </w:rPr>
      </w:pPr>
    </w:p>
    <w:p w:rsidR="000065CC" w:rsidRPr="00A63C06" w:rsidRDefault="000C6C9B" w:rsidP="000C6C9B">
      <w:pPr>
        <w:spacing w:after="0" w:line="240" w:lineRule="auto"/>
        <w:jc w:val="both"/>
        <w:rPr>
          <w:rFonts w:ascii="Book Antiqua" w:hAnsi="Book Antiqua" w:cs="Times New Roman"/>
        </w:rPr>
      </w:pPr>
      <w:r>
        <w:rPr>
          <w:rFonts w:ascii="Book Antiqua" w:hAnsi="Book Antiqua" w:cs="Times New Roman"/>
        </w:rPr>
        <w:t xml:space="preserve">Berdasarkan Uraian tersebut </w:t>
      </w:r>
      <w:r w:rsidR="007F0DD2" w:rsidRPr="007F0DD2">
        <w:rPr>
          <w:rFonts w:ascii="Book Antiqua" w:hAnsi="Book Antiqua" w:cs="Times New Roman"/>
        </w:rPr>
        <w:t>dapat disimpulkan</w:t>
      </w:r>
      <w:r w:rsidR="007F0DD2">
        <w:rPr>
          <w:rFonts w:ascii="Book Antiqua" w:hAnsi="Book Antiqua" w:cs="Times New Roman"/>
        </w:rPr>
        <w:t xml:space="preserve"> </w:t>
      </w:r>
      <w:r w:rsidR="008503FE">
        <w:rPr>
          <w:rFonts w:ascii="Book Antiqua" w:hAnsi="Book Antiqua" w:cs="Times New Roman"/>
        </w:rPr>
        <w:t>bahwa</w:t>
      </w:r>
      <w:r w:rsidR="008503FE" w:rsidRPr="008503FE">
        <w:rPr>
          <w:rFonts w:ascii="Book Antiqua" w:hAnsi="Book Antiqua" w:cs="Times New Roman"/>
        </w:rPr>
        <w:t xml:space="preserve"> tindakan kebiri kimia dan pemasangan chip pada dasarnya merupakan pelanggaran Hak </w:t>
      </w:r>
      <w:r w:rsidR="008503FE" w:rsidRPr="008503FE">
        <w:rPr>
          <w:rFonts w:ascii="Book Antiqua" w:hAnsi="Book Antiqua" w:cs="Times New Roman"/>
        </w:rPr>
        <w:lastRenderedPageBreak/>
        <w:t>Asasi Manusia (“HAM”), masuk dalam Konvensi Menentang Penyiksaan dan Perlakuan atau Penghukuman lain yang Kejam, Tidak Manusiawi atau Merendahkan Martabat Manusia.</w:t>
      </w:r>
      <w:r w:rsidR="008503FE">
        <w:rPr>
          <w:rFonts w:ascii="Book Antiqua" w:hAnsi="Book Antiqua" w:cs="Times New Roman"/>
        </w:rPr>
        <w:t xml:space="preserve"> Namun a</w:t>
      </w:r>
      <w:r w:rsidR="008503FE" w:rsidRPr="008503FE">
        <w:rPr>
          <w:rFonts w:ascii="Book Antiqua" w:hAnsi="Book Antiqua" w:cs="Times New Roman"/>
        </w:rPr>
        <w:t>nak sebagai korban kejahatan seksual terdampak luar biasa, terutama terhadap perkembangan psikologinya di masa yang akan datang, akibat dari depresi, malu, dan lain sebagainya.</w:t>
      </w:r>
      <w:r w:rsidR="008503FE">
        <w:rPr>
          <w:rFonts w:ascii="Book Antiqua" w:hAnsi="Book Antiqua" w:cs="Times New Roman"/>
        </w:rPr>
        <w:t xml:space="preserve"> Ti</w:t>
      </w:r>
      <w:r w:rsidR="008503FE" w:rsidRPr="008503FE">
        <w:rPr>
          <w:rFonts w:ascii="Book Antiqua" w:hAnsi="Book Antiqua" w:cs="Times New Roman"/>
        </w:rPr>
        <w:t>ndakan kebiri kimia dan pemasangan chip merupakan hukuman yang sesuai.</w:t>
      </w:r>
      <w:r w:rsidR="008503FE">
        <w:rPr>
          <w:rFonts w:ascii="Book Antiqua" w:hAnsi="Book Antiqua" w:cs="Times New Roman"/>
        </w:rPr>
        <w:t xml:space="preserve"> </w:t>
      </w:r>
      <w:r w:rsidR="007F0DD2" w:rsidRPr="00DE7960">
        <w:rPr>
          <w:rFonts w:ascii="Book Antiqua" w:hAnsi="Book Antiqua" w:cs="Times New Roman"/>
        </w:rPr>
        <w:t>Tujuan pemidanaan dimaksudkan untuk memperbaiki sikap dan tingkah laku terpidana dan di pihak lain pemidanaan itu juga dimaksudkan untuk mencegah orang lain dari kemungkinan melakukan perbuatan yang serupa. Sanksi yang tepat akan mencegah para pelaku kejahatan melakukan kejahatan lagi dan mencegah orang lain melakukan kejahatan.</w:t>
      </w:r>
      <w:r w:rsidR="007F0DD2">
        <w:rPr>
          <w:rFonts w:ascii="Book Antiqua" w:hAnsi="Book Antiqua" w:cs="Times New Roman"/>
        </w:rPr>
        <w:t xml:space="preserve"> </w:t>
      </w:r>
      <w:r w:rsidR="007F0DD2" w:rsidRPr="00DE4141">
        <w:rPr>
          <w:rFonts w:ascii="Book Antiqua" w:hAnsi="Book Antiqua" w:cs="Times New Roman"/>
        </w:rPr>
        <w:t>Peraturan mengenai sanksi kebiri terhadap pelaku merupakan upaya perlindungan terhadap anak agar tidak menjadi korban kekerasan seksual.</w:t>
      </w:r>
      <w:r w:rsidR="007F0DD2">
        <w:rPr>
          <w:rFonts w:ascii="Book Antiqua" w:hAnsi="Book Antiqua" w:cs="Times New Roman"/>
        </w:rPr>
        <w:t xml:space="preserve"> Sehingga sudah sepantasnya pelaku kekerasan seksual terhadap anak yang memenuhi kualifikasi dalam </w:t>
      </w:r>
      <w:r w:rsidR="007F0DD2" w:rsidRPr="00470C14">
        <w:rPr>
          <w:rFonts w:ascii="Book Antiqua" w:hAnsi="Book Antiqua" w:cs="Times New Roman"/>
        </w:rPr>
        <w:t xml:space="preserve">Perpu No.1 Tahun 2016 Jo. </w:t>
      </w:r>
      <w:r w:rsidR="007F0DD2">
        <w:rPr>
          <w:rFonts w:ascii="Book Antiqua" w:hAnsi="Book Antiqua" w:cs="Times New Roman"/>
        </w:rPr>
        <w:t>Undang-Undang No.17 Tahun 2016 di kenakan pidana kebiri agar tingkat kejahatan khususnya kekerasan seksual terhadap anak ini dapat berkurang.</w:t>
      </w:r>
    </w:p>
    <w:p w:rsidR="000065CC" w:rsidRPr="00A63C06" w:rsidRDefault="000065CC" w:rsidP="000C6C9B">
      <w:pPr>
        <w:spacing w:after="0" w:line="240" w:lineRule="auto"/>
        <w:jc w:val="both"/>
        <w:rPr>
          <w:rFonts w:ascii="Book Antiqua" w:hAnsi="Book Antiqua" w:cs="Times New Roman"/>
        </w:rPr>
      </w:pPr>
    </w:p>
    <w:p w:rsidR="000065CC" w:rsidRPr="00A63C06" w:rsidRDefault="000065CC" w:rsidP="000C6C9B">
      <w:pPr>
        <w:spacing w:after="0" w:line="240" w:lineRule="auto"/>
        <w:jc w:val="both"/>
        <w:rPr>
          <w:rFonts w:ascii="Book Antiqua" w:hAnsi="Book Antiqua" w:cs="Times New Roman"/>
        </w:rPr>
      </w:pPr>
    </w:p>
    <w:p w:rsidR="000065CC" w:rsidRDefault="0030362F" w:rsidP="000C6C9B">
      <w:pPr>
        <w:spacing w:after="0" w:line="240" w:lineRule="auto"/>
        <w:jc w:val="both"/>
        <w:rPr>
          <w:rFonts w:ascii="Book Antiqua" w:hAnsi="Book Antiqua" w:cs="Times New Roman"/>
          <w:b/>
        </w:rPr>
      </w:pPr>
      <w:r w:rsidRPr="0030362F">
        <w:rPr>
          <w:rFonts w:ascii="Book Antiqua" w:hAnsi="Book Antiqua" w:cs="Times New Roman"/>
          <w:b/>
        </w:rPr>
        <w:t>Daftar Pustaka</w:t>
      </w:r>
    </w:p>
    <w:p w:rsidR="000C6C9B" w:rsidRDefault="000C6C9B" w:rsidP="000C6C9B">
      <w:pPr>
        <w:spacing w:after="0" w:line="240" w:lineRule="auto"/>
        <w:jc w:val="both"/>
        <w:rPr>
          <w:rFonts w:ascii="Book Antiqua" w:hAnsi="Book Antiqua" w:cs="Times New Roman"/>
          <w:b/>
        </w:rPr>
      </w:pPr>
    </w:p>
    <w:p w:rsidR="00223016" w:rsidRPr="000C6C9B" w:rsidRDefault="00223016" w:rsidP="000C6C9B">
      <w:pPr>
        <w:pStyle w:val="FootnoteText"/>
        <w:ind w:left="426" w:hanging="426"/>
        <w:jc w:val="both"/>
        <w:rPr>
          <w:rFonts w:ascii="Book Antiqua" w:hAnsi="Book Antiqua" w:cs="Times New Roman"/>
          <w:sz w:val="22"/>
          <w:szCs w:val="22"/>
        </w:rPr>
      </w:pPr>
      <w:r w:rsidRPr="000C6C9B">
        <w:rPr>
          <w:rFonts w:ascii="Book Antiqua" w:hAnsi="Book Antiqua" w:cs="Times New Roman"/>
          <w:sz w:val="22"/>
          <w:szCs w:val="22"/>
        </w:rPr>
        <w:t xml:space="preserve">Andi Hamzah, </w:t>
      </w:r>
      <w:r w:rsidRPr="000C6C9B">
        <w:rPr>
          <w:rFonts w:ascii="Book Antiqua" w:hAnsi="Book Antiqua" w:cs="Times New Roman"/>
          <w:i/>
          <w:sz w:val="22"/>
          <w:szCs w:val="22"/>
        </w:rPr>
        <w:t>Asas-Asas Hukum Pidana</w:t>
      </w:r>
      <w:r w:rsidRPr="000C6C9B">
        <w:rPr>
          <w:rFonts w:ascii="Book Antiqua" w:hAnsi="Book Antiqua" w:cs="Times New Roman"/>
          <w:sz w:val="22"/>
          <w:szCs w:val="22"/>
        </w:rPr>
        <w:t>, Rineka Cipta, Jakarta, 2018.</w:t>
      </w:r>
    </w:p>
    <w:p w:rsidR="00223016" w:rsidRPr="000C6C9B" w:rsidRDefault="00223016" w:rsidP="000C6C9B">
      <w:pPr>
        <w:pStyle w:val="FootnoteText"/>
        <w:ind w:left="426" w:hanging="426"/>
        <w:jc w:val="both"/>
        <w:rPr>
          <w:rFonts w:ascii="Book Antiqua" w:hAnsi="Book Antiqua" w:cs="Times New Roman"/>
          <w:sz w:val="22"/>
          <w:szCs w:val="22"/>
        </w:rPr>
      </w:pPr>
      <w:r w:rsidRPr="000C6C9B">
        <w:rPr>
          <w:rFonts w:ascii="Book Antiqua" w:hAnsi="Book Antiqua" w:cs="Times New Roman"/>
          <w:sz w:val="22"/>
          <w:szCs w:val="22"/>
        </w:rPr>
        <w:t xml:space="preserve">Andrey Sujatmoko, </w:t>
      </w:r>
      <w:r w:rsidRPr="000C6C9B">
        <w:rPr>
          <w:rFonts w:ascii="Book Antiqua" w:hAnsi="Book Antiqua" w:cs="Times New Roman"/>
          <w:i/>
          <w:sz w:val="22"/>
          <w:szCs w:val="22"/>
        </w:rPr>
        <w:t>Hukum HAM dan Hukum Humaniter</w:t>
      </w:r>
      <w:r w:rsidRPr="000C6C9B">
        <w:rPr>
          <w:rFonts w:ascii="Book Antiqua" w:hAnsi="Book Antiqua" w:cs="Times New Roman"/>
          <w:sz w:val="22"/>
          <w:szCs w:val="22"/>
        </w:rPr>
        <w:t>, PT RajaGrafindo Persada, Jakarta.</w:t>
      </w:r>
    </w:p>
    <w:p w:rsidR="00223016" w:rsidRPr="000C6C9B" w:rsidRDefault="00223016" w:rsidP="000C6C9B">
      <w:pPr>
        <w:pStyle w:val="FootnoteText"/>
        <w:ind w:left="426" w:hanging="426"/>
        <w:jc w:val="both"/>
        <w:rPr>
          <w:rFonts w:ascii="Book Antiqua" w:hAnsi="Book Antiqua" w:cs="Times New Roman"/>
          <w:sz w:val="22"/>
          <w:szCs w:val="22"/>
        </w:rPr>
      </w:pPr>
      <w:r w:rsidRPr="000C6C9B">
        <w:rPr>
          <w:rFonts w:ascii="Book Antiqua" w:hAnsi="Book Antiqua" w:cs="Times New Roman"/>
          <w:sz w:val="22"/>
          <w:szCs w:val="22"/>
        </w:rPr>
        <w:t xml:space="preserve">Dwidja Priyatno, </w:t>
      </w:r>
      <w:r w:rsidRPr="000C6C9B">
        <w:rPr>
          <w:rFonts w:ascii="Book Antiqua" w:hAnsi="Book Antiqua" w:cs="Times New Roman"/>
          <w:i/>
          <w:sz w:val="22"/>
          <w:szCs w:val="22"/>
        </w:rPr>
        <w:t>Sistem Pelaksanaan Pidana Penjara Di Indonesia</w:t>
      </w:r>
      <w:r w:rsidRPr="000C6C9B">
        <w:rPr>
          <w:rFonts w:ascii="Book Antiqua" w:hAnsi="Book Antiqua" w:cs="Times New Roman"/>
          <w:sz w:val="22"/>
          <w:szCs w:val="22"/>
        </w:rPr>
        <w:t>, Refika Aditama, Bandung, 2013</w:t>
      </w:r>
    </w:p>
    <w:p w:rsidR="00223016" w:rsidRPr="000C6C9B" w:rsidRDefault="00223016" w:rsidP="000C6C9B">
      <w:pPr>
        <w:pStyle w:val="FootnoteText"/>
        <w:ind w:left="284" w:hanging="284"/>
        <w:jc w:val="both"/>
        <w:rPr>
          <w:rFonts w:ascii="Book Antiqua" w:hAnsi="Book Antiqua" w:cs="Times New Roman"/>
          <w:sz w:val="22"/>
          <w:szCs w:val="22"/>
        </w:rPr>
      </w:pPr>
      <w:r w:rsidRPr="000C6C9B">
        <w:rPr>
          <w:rFonts w:ascii="Book Antiqua" w:hAnsi="Book Antiqua" w:cs="Times New Roman"/>
          <w:sz w:val="22"/>
          <w:szCs w:val="22"/>
        </w:rPr>
        <w:t>Deti Mega Purnamasari, Komnas HAM Nilai Hukuman Kebiri Kimia Penyiksaan Tak Sesuai Prinsip HAM,  https://nasional.kompas.com/read/2021/01/05/10274431/komnas-ham-</w:t>
      </w:r>
      <w:r w:rsidRPr="000C6C9B">
        <w:rPr>
          <w:rFonts w:ascii="Book Antiqua" w:hAnsi="Book Antiqua" w:cs="Times New Roman"/>
          <w:sz w:val="22"/>
          <w:szCs w:val="22"/>
        </w:rPr>
        <w:lastRenderedPageBreak/>
        <w:t>nilai-hukuman-kebiri-kimia,penyiksaan-tak-sesuai-prinsip-ham, diakses 30-05-2021</w:t>
      </w:r>
    </w:p>
    <w:p w:rsidR="00223016" w:rsidRPr="000C6C9B" w:rsidRDefault="00223016" w:rsidP="000C6C9B">
      <w:pPr>
        <w:pStyle w:val="FootnoteText"/>
        <w:ind w:left="284" w:hanging="284"/>
        <w:jc w:val="both"/>
        <w:rPr>
          <w:rFonts w:ascii="Book Antiqua" w:hAnsi="Book Antiqua" w:cs="Times New Roman"/>
          <w:sz w:val="22"/>
          <w:szCs w:val="22"/>
        </w:rPr>
      </w:pPr>
      <w:r w:rsidRPr="000C6C9B">
        <w:rPr>
          <w:rFonts w:ascii="Book Antiqua" w:hAnsi="Book Antiqua" w:cs="Times New Roman"/>
          <w:bCs/>
          <w:sz w:val="22"/>
          <w:szCs w:val="22"/>
        </w:rPr>
        <w:t xml:space="preserve">Edward Omar Sharif Hiariej, </w:t>
      </w:r>
      <w:r w:rsidRPr="000C6C9B">
        <w:rPr>
          <w:rFonts w:ascii="Book Antiqua" w:hAnsi="Book Antiqua" w:cs="Times New Roman"/>
          <w:sz w:val="22"/>
          <w:szCs w:val="22"/>
        </w:rPr>
        <w:t>Alasan Hukum yang Membenarkan Pemasangan Chip dan Kebiri Kimia, https://new.hukumonline.com/klinik/detail/lt5ee9fda7d210d/alasan-hukum-yang-membenarkan-pemasangan-chip-dan-kebiri-kimia-/, dikases 31-05-2021</w:t>
      </w:r>
    </w:p>
    <w:p w:rsidR="00223016" w:rsidRPr="000C6C9B" w:rsidRDefault="00223016" w:rsidP="000C6C9B">
      <w:pPr>
        <w:pStyle w:val="FootnoteText"/>
        <w:ind w:left="284" w:hanging="284"/>
        <w:jc w:val="both"/>
        <w:rPr>
          <w:rFonts w:ascii="Book Antiqua" w:hAnsi="Book Antiqua" w:cs="Times New Roman"/>
          <w:sz w:val="22"/>
          <w:szCs w:val="22"/>
        </w:rPr>
      </w:pPr>
      <w:r w:rsidRPr="000C6C9B">
        <w:rPr>
          <w:rFonts w:ascii="Book Antiqua" w:hAnsi="Book Antiqua" w:cs="Times New Roman"/>
          <w:sz w:val="22"/>
          <w:szCs w:val="22"/>
        </w:rPr>
        <w:t xml:space="preserve">E. Y. Kanter dan S. R. Sianturi, </w:t>
      </w:r>
      <w:r w:rsidRPr="000C6C9B">
        <w:rPr>
          <w:rFonts w:ascii="Book Antiqua" w:hAnsi="Book Antiqua" w:cs="Times New Roman"/>
          <w:i/>
          <w:iCs/>
          <w:sz w:val="22"/>
          <w:szCs w:val="22"/>
        </w:rPr>
        <w:t>Asas-Asas Hukum Pidana di Indonesia dan Penerapannya</w:t>
      </w:r>
      <w:r w:rsidRPr="000C6C9B">
        <w:rPr>
          <w:rFonts w:ascii="Book Antiqua" w:hAnsi="Book Antiqua" w:cs="Times New Roman"/>
          <w:sz w:val="22"/>
          <w:szCs w:val="22"/>
        </w:rPr>
        <w:t>, Storia Grafika, Jakarta, 2012.</w:t>
      </w:r>
    </w:p>
    <w:p w:rsidR="00223016" w:rsidRPr="000C6C9B" w:rsidRDefault="00223016" w:rsidP="000C6C9B">
      <w:pPr>
        <w:pStyle w:val="FootnoteText"/>
        <w:ind w:left="284" w:hanging="284"/>
        <w:jc w:val="both"/>
        <w:rPr>
          <w:rFonts w:ascii="Book Antiqua" w:hAnsi="Book Antiqua" w:cs="Times New Roman"/>
          <w:sz w:val="22"/>
          <w:szCs w:val="22"/>
        </w:rPr>
      </w:pPr>
      <w:r w:rsidRPr="000C6C9B">
        <w:rPr>
          <w:rFonts w:ascii="Book Antiqua" w:hAnsi="Book Antiqua" w:cs="Times New Roman"/>
          <w:sz w:val="22"/>
          <w:szCs w:val="22"/>
        </w:rPr>
        <w:t>Gloria Setyvani Putri, Presiden Jokowi Teken PP Kebiri Kimia, Apa Itu dan Bagaimana Efeknya, https://www.kompas.com/sains/read/2021/01/04/070000123/presiden-jokowi-teken-pp-kebiri-kimia-apa-itu-dan-bagaimana-efeknya-?page=all, diakses 30-05-2021</w:t>
      </w:r>
    </w:p>
    <w:p w:rsidR="0039071D" w:rsidRPr="000C6C9B" w:rsidRDefault="0039071D" w:rsidP="000C6C9B">
      <w:pPr>
        <w:pStyle w:val="FootnoteText"/>
        <w:ind w:left="284" w:hanging="284"/>
        <w:jc w:val="both"/>
        <w:rPr>
          <w:rFonts w:ascii="Book Antiqua" w:hAnsi="Book Antiqua" w:cs="Times New Roman"/>
          <w:sz w:val="22"/>
          <w:szCs w:val="22"/>
        </w:rPr>
      </w:pPr>
      <w:r w:rsidRPr="000C6C9B">
        <w:rPr>
          <w:rFonts w:ascii="Book Antiqua" w:hAnsi="Book Antiqua" w:cs="Times New Roman"/>
          <w:sz w:val="22"/>
          <w:szCs w:val="22"/>
        </w:rPr>
        <w:t>Hukuman Kebiri Bagi Pelaku Kejahatan Seksual Tidak Sejalan dengan Prinsip HAM,</w:t>
      </w:r>
    </w:p>
    <w:p w:rsidR="00223016" w:rsidRPr="000C6C9B" w:rsidRDefault="0039071D" w:rsidP="000C6C9B">
      <w:pPr>
        <w:pStyle w:val="FootnoteText"/>
        <w:ind w:left="284" w:hanging="284"/>
        <w:jc w:val="both"/>
        <w:rPr>
          <w:rFonts w:ascii="Book Antiqua" w:hAnsi="Book Antiqua" w:cs="Times New Roman"/>
          <w:sz w:val="22"/>
          <w:szCs w:val="22"/>
        </w:rPr>
      </w:pPr>
      <w:r w:rsidRPr="000C6C9B">
        <w:rPr>
          <w:rFonts w:ascii="Book Antiqua" w:hAnsi="Book Antiqua" w:cs="Times New Roman"/>
          <w:sz w:val="22"/>
          <w:szCs w:val="22"/>
        </w:rPr>
        <w:t>https://www.komnasham.go.id/index.php/news/2021/2/11/1671/hukuman-kebiri-bagi-pelaku-kejahatan-seksual-tidak-sejalan-dengan-prinsip-ham.html, diunduh 31-052-2021</w:t>
      </w:r>
    </w:p>
    <w:p w:rsidR="0030362F" w:rsidRPr="000C6C9B" w:rsidRDefault="0030362F" w:rsidP="000C6C9B">
      <w:pPr>
        <w:pStyle w:val="FootnoteText"/>
        <w:ind w:left="284" w:hanging="284"/>
        <w:jc w:val="both"/>
        <w:rPr>
          <w:rFonts w:ascii="Book Antiqua" w:hAnsi="Book Antiqua" w:cs="Times New Roman"/>
          <w:sz w:val="22"/>
          <w:szCs w:val="22"/>
        </w:rPr>
      </w:pPr>
      <w:r w:rsidRPr="000C6C9B">
        <w:rPr>
          <w:rFonts w:ascii="Book Antiqua" w:hAnsi="Book Antiqua" w:cs="Times New Roman"/>
          <w:sz w:val="22"/>
          <w:szCs w:val="22"/>
        </w:rPr>
        <w:t>Munandar Sulaeman dan Siti Homzah (Ed</w:t>
      </w:r>
      <w:r w:rsidRPr="000C6C9B">
        <w:rPr>
          <w:rFonts w:ascii="Book Antiqua" w:hAnsi="Book Antiqua" w:cs="Times New Roman"/>
          <w:i/>
          <w:sz w:val="22"/>
          <w:szCs w:val="22"/>
        </w:rPr>
        <w:t xml:space="preserve">.), </w:t>
      </w:r>
      <w:r w:rsidRPr="000C6C9B">
        <w:rPr>
          <w:rFonts w:ascii="Book Antiqua" w:hAnsi="Book Antiqua" w:cs="Times New Roman"/>
          <w:i/>
          <w:sz w:val="22"/>
          <w:szCs w:val="22"/>
        </w:rPr>
        <w:t xml:space="preserve"> </w:t>
      </w:r>
      <w:r w:rsidRPr="000C6C9B">
        <w:rPr>
          <w:rFonts w:ascii="Book Antiqua" w:hAnsi="Book Antiqua" w:cs="Times New Roman"/>
          <w:i/>
          <w:sz w:val="22"/>
          <w:szCs w:val="22"/>
        </w:rPr>
        <w:t>Kekerasan Terhadap Perempuan Tinjauan dalam Berbagai Disiplin Ilmu dan Kasus Kekerasan,</w:t>
      </w:r>
      <w:r w:rsidRPr="000C6C9B">
        <w:rPr>
          <w:rFonts w:ascii="Book Antiqua" w:hAnsi="Book Antiqua" w:cs="Times New Roman"/>
          <w:sz w:val="22"/>
          <w:szCs w:val="22"/>
        </w:rPr>
        <w:t xml:space="preserve"> Refika Aditama,</w:t>
      </w:r>
      <w:r w:rsidR="0039071D" w:rsidRPr="000C6C9B">
        <w:rPr>
          <w:rFonts w:ascii="Book Antiqua" w:hAnsi="Book Antiqua" w:cs="Times New Roman"/>
          <w:sz w:val="22"/>
          <w:szCs w:val="22"/>
        </w:rPr>
        <w:t xml:space="preserve"> Bandung, 2010.</w:t>
      </w:r>
    </w:p>
    <w:p w:rsidR="0030362F" w:rsidRPr="000C6C9B" w:rsidRDefault="0030362F" w:rsidP="000C6C9B">
      <w:pPr>
        <w:pStyle w:val="FootnoteText"/>
        <w:ind w:left="284" w:hanging="284"/>
        <w:jc w:val="both"/>
        <w:rPr>
          <w:rFonts w:ascii="Book Antiqua" w:hAnsi="Book Antiqua"/>
          <w:sz w:val="22"/>
          <w:szCs w:val="22"/>
        </w:rPr>
      </w:pPr>
      <w:r w:rsidRPr="000C6C9B">
        <w:rPr>
          <w:rFonts w:ascii="Book Antiqua" w:hAnsi="Book Antiqua" w:cs="Times New Roman"/>
          <w:sz w:val="22"/>
          <w:szCs w:val="22"/>
        </w:rPr>
        <w:t xml:space="preserve">M. Solehuddin, </w:t>
      </w:r>
      <w:r w:rsidRPr="000C6C9B">
        <w:rPr>
          <w:rFonts w:ascii="Book Antiqua" w:hAnsi="Book Antiqua" w:cs="Times New Roman"/>
          <w:i/>
          <w:sz w:val="22"/>
          <w:szCs w:val="22"/>
        </w:rPr>
        <w:t>Sistem Sanksi Dalam Hukum Pidana Ide dasar Double Track system dan Implementasinya,</w:t>
      </w:r>
      <w:r w:rsidRPr="000C6C9B">
        <w:rPr>
          <w:rFonts w:ascii="Book Antiqua" w:hAnsi="Book Antiqua" w:cs="Times New Roman"/>
          <w:sz w:val="22"/>
          <w:szCs w:val="22"/>
        </w:rPr>
        <w:t xml:space="preserve"> Raja Grafindo Persada,</w:t>
      </w:r>
      <w:r w:rsidRPr="000C6C9B">
        <w:rPr>
          <w:rFonts w:ascii="Book Antiqua" w:hAnsi="Book Antiqua" w:cs="Times New Roman"/>
          <w:sz w:val="22"/>
          <w:szCs w:val="22"/>
        </w:rPr>
        <w:t xml:space="preserve"> Jakarta, 2003.</w:t>
      </w:r>
    </w:p>
    <w:p w:rsidR="0039071D" w:rsidRPr="000C6C9B" w:rsidRDefault="0039071D" w:rsidP="000C6C9B">
      <w:pPr>
        <w:pStyle w:val="FootnoteText"/>
        <w:ind w:left="284" w:hanging="284"/>
        <w:jc w:val="both"/>
        <w:rPr>
          <w:rFonts w:ascii="Book Antiqua" w:hAnsi="Book Antiqua"/>
          <w:sz w:val="22"/>
          <w:szCs w:val="22"/>
        </w:rPr>
      </w:pPr>
      <w:r w:rsidRPr="000C6C9B">
        <w:rPr>
          <w:rFonts w:ascii="Book Antiqua" w:hAnsi="Book Antiqua"/>
          <w:sz w:val="22"/>
          <w:szCs w:val="22"/>
        </w:rPr>
        <w:t xml:space="preserve">Muladi, </w:t>
      </w:r>
      <w:r w:rsidRPr="000C6C9B">
        <w:rPr>
          <w:rFonts w:ascii="Book Antiqua" w:hAnsi="Book Antiqua"/>
          <w:i/>
          <w:sz w:val="22"/>
          <w:szCs w:val="22"/>
        </w:rPr>
        <w:t>Hak Asasi Manusia, Hakekat, Konsep dan implikasinya dalam perspektif Hukum dan Masyarakat</w:t>
      </w:r>
      <w:r w:rsidRPr="000C6C9B">
        <w:rPr>
          <w:rFonts w:ascii="Book Antiqua" w:hAnsi="Book Antiqua"/>
          <w:sz w:val="22"/>
          <w:szCs w:val="22"/>
        </w:rPr>
        <w:t>, PT Refika Aditama, Bandung</w:t>
      </w:r>
    </w:p>
    <w:p w:rsidR="0039071D" w:rsidRPr="000C6C9B" w:rsidRDefault="0039071D" w:rsidP="000C6C9B">
      <w:pPr>
        <w:pStyle w:val="FootnoteText"/>
        <w:ind w:left="284" w:hanging="284"/>
        <w:jc w:val="both"/>
        <w:rPr>
          <w:rFonts w:ascii="Book Antiqua" w:hAnsi="Book Antiqua"/>
          <w:sz w:val="22"/>
          <w:szCs w:val="22"/>
        </w:rPr>
      </w:pPr>
      <w:r w:rsidRPr="000C6C9B">
        <w:rPr>
          <w:rFonts w:ascii="Book Antiqua" w:hAnsi="Book Antiqua"/>
          <w:sz w:val="22"/>
          <w:szCs w:val="22"/>
        </w:rPr>
        <w:t xml:space="preserve">Muladi dan Barda Nawawi Arief, </w:t>
      </w:r>
      <w:r w:rsidRPr="000C6C9B">
        <w:rPr>
          <w:rFonts w:ascii="Book Antiqua" w:hAnsi="Book Antiqua"/>
          <w:i/>
          <w:sz w:val="22"/>
          <w:szCs w:val="22"/>
        </w:rPr>
        <w:t>Teori-Teori dan Kebijakan Pidana</w:t>
      </w:r>
      <w:r w:rsidRPr="000C6C9B">
        <w:rPr>
          <w:rFonts w:ascii="Book Antiqua" w:hAnsi="Book Antiqua"/>
          <w:sz w:val="22"/>
          <w:szCs w:val="22"/>
        </w:rPr>
        <w:t>, Alumni, Bandung, 2015.</w:t>
      </w:r>
    </w:p>
    <w:p w:rsidR="0039071D" w:rsidRPr="000C6C9B" w:rsidRDefault="0039071D" w:rsidP="000C6C9B">
      <w:pPr>
        <w:pStyle w:val="FootnoteText"/>
        <w:ind w:left="284" w:hanging="284"/>
        <w:jc w:val="both"/>
        <w:rPr>
          <w:rFonts w:ascii="Book Antiqua" w:hAnsi="Book Antiqua"/>
          <w:sz w:val="22"/>
          <w:szCs w:val="22"/>
        </w:rPr>
      </w:pPr>
      <w:r w:rsidRPr="000C6C9B">
        <w:rPr>
          <w:rFonts w:ascii="Book Antiqua" w:hAnsi="Book Antiqua"/>
          <w:sz w:val="22"/>
          <w:szCs w:val="22"/>
        </w:rPr>
        <w:t xml:space="preserve">Mahrus Ali, </w:t>
      </w:r>
      <w:r w:rsidRPr="000C6C9B">
        <w:rPr>
          <w:rFonts w:ascii="Book Antiqua" w:hAnsi="Book Antiqua"/>
          <w:i/>
          <w:sz w:val="22"/>
          <w:szCs w:val="22"/>
        </w:rPr>
        <w:t>Dasar-Dasar Hukum Pidana</w:t>
      </w:r>
      <w:r w:rsidRPr="000C6C9B">
        <w:rPr>
          <w:rFonts w:ascii="Book Antiqua" w:hAnsi="Book Antiqua"/>
          <w:sz w:val="22"/>
          <w:szCs w:val="22"/>
        </w:rPr>
        <w:t>, Sinar Grafika, Jakarta, 2012.</w:t>
      </w:r>
    </w:p>
    <w:p w:rsidR="0039071D" w:rsidRPr="000C6C9B" w:rsidRDefault="0039071D" w:rsidP="000C6C9B">
      <w:pPr>
        <w:pStyle w:val="FootnoteText"/>
        <w:tabs>
          <w:tab w:val="left" w:pos="284"/>
        </w:tabs>
        <w:ind w:left="284" w:hanging="284"/>
        <w:jc w:val="both"/>
        <w:rPr>
          <w:rFonts w:ascii="Book Antiqua" w:hAnsi="Book Antiqua"/>
          <w:sz w:val="22"/>
          <w:szCs w:val="22"/>
        </w:rPr>
      </w:pPr>
      <w:r w:rsidRPr="000C6C9B">
        <w:rPr>
          <w:rFonts w:ascii="Book Antiqua" w:hAnsi="Book Antiqua"/>
          <w:sz w:val="22"/>
          <w:szCs w:val="22"/>
        </w:rPr>
        <w:lastRenderedPageBreak/>
        <w:t xml:space="preserve">Mohammad Taufik Makarao, </w:t>
      </w:r>
      <w:r w:rsidRPr="000C6C9B">
        <w:rPr>
          <w:rFonts w:ascii="Book Antiqua" w:hAnsi="Book Antiqua"/>
          <w:i/>
          <w:sz w:val="22"/>
          <w:szCs w:val="22"/>
        </w:rPr>
        <w:t xml:space="preserve">Pembaharuan Hukum Pidana, </w:t>
      </w:r>
      <w:r w:rsidRPr="000C6C9B">
        <w:rPr>
          <w:rFonts w:ascii="Book Antiqua" w:hAnsi="Book Antiqua"/>
          <w:sz w:val="22"/>
          <w:szCs w:val="22"/>
        </w:rPr>
        <w:t>Kreasi Wacana, Yogyakarta, 2005.</w:t>
      </w:r>
    </w:p>
    <w:p w:rsidR="0039071D" w:rsidRPr="000C6C9B" w:rsidRDefault="0039071D" w:rsidP="000C6C9B">
      <w:pPr>
        <w:pStyle w:val="FootnoteText"/>
        <w:ind w:left="284" w:hanging="284"/>
        <w:jc w:val="both"/>
        <w:rPr>
          <w:rFonts w:ascii="Book Antiqua" w:hAnsi="Book Antiqua"/>
          <w:sz w:val="22"/>
          <w:szCs w:val="22"/>
        </w:rPr>
      </w:pPr>
      <w:r w:rsidRPr="000C6C9B">
        <w:rPr>
          <w:rFonts w:ascii="Book Antiqua" w:hAnsi="Book Antiqua"/>
          <w:sz w:val="22"/>
          <w:szCs w:val="22"/>
        </w:rPr>
        <w:t xml:space="preserve">Mulyanti Pewennei dan Rahmanuddin Tomalili, </w:t>
      </w:r>
      <w:r w:rsidRPr="000C6C9B">
        <w:rPr>
          <w:rFonts w:ascii="Book Antiqua" w:hAnsi="Book Antiqua"/>
          <w:i/>
          <w:sz w:val="22"/>
          <w:szCs w:val="22"/>
        </w:rPr>
        <w:t>Hukum Pidana</w:t>
      </w:r>
      <w:r w:rsidRPr="000C6C9B">
        <w:rPr>
          <w:rFonts w:ascii="Book Antiqua" w:hAnsi="Book Antiqua"/>
          <w:sz w:val="22"/>
          <w:szCs w:val="22"/>
        </w:rPr>
        <w:t>, Mitra Wacan</w:t>
      </w:r>
      <w:r w:rsidR="000C6C9B">
        <w:rPr>
          <w:rFonts w:ascii="Book Antiqua" w:hAnsi="Book Antiqua"/>
          <w:sz w:val="22"/>
          <w:szCs w:val="22"/>
        </w:rPr>
        <w:t>a Kencana, Jakarta, 2015.</w:t>
      </w:r>
    </w:p>
    <w:p w:rsidR="00223016" w:rsidRPr="000C6C9B" w:rsidRDefault="0030362F" w:rsidP="000C6C9B">
      <w:pPr>
        <w:pStyle w:val="FootnoteText"/>
        <w:ind w:left="284" w:hanging="284"/>
        <w:jc w:val="both"/>
        <w:rPr>
          <w:rFonts w:ascii="Book Antiqua" w:hAnsi="Book Antiqua"/>
          <w:sz w:val="22"/>
          <w:szCs w:val="22"/>
        </w:rPr>
      </w:pPr>
      <w:r w:rsidRPr="000C6C9B">
        <w:rPr>
          <w:rFonts w:ascii="Book Antiqua" w:hAnsi="Book Antiqua"/>
          <w:sz w:val="22"/>
          <w:szCs w:val="22"/>
        </w:rPr>
        <w:t xml:space="preserve">Peter Mahmud Marzuki, </w:t>
      </w:r>
      <w:r w:rsidRPr="000C6C9B">
        <w:rPr>
          <w:rFonts w:ascii="Book Antiqua" w:hAnsi="Book Antiqua"/>
          <w:i/>
          <w:sz w:val="22"/>
          <w:szCs w:val="22"/>
        </w:rPr>
        <w:t>Penelitian Hukum,</w:t>
      </w:r>
      <w:r w:rsidRPr="000C6C9B">
        <w:rPr>
          <w:rFonts w:ascii="Book Antiqua" w:hAnsi="Book Antiqua"/>
          <w:sz w:val="22"/>
          <w:szCs w:val="22"/>
        </w:rPr>
        <w:t xml:space="preserve"> Kencana, Jakarta,  </w:t>
      </w:r>
      <w:r w:rsidR="0039071D" w:rsidRPr="000C6C9B">
        <w:rPr>
          <w:rFonts w:ascii="Book Antiqua" w:hAnsi="Book Antiqua"/>
          <w:sz w:val="22"/>
          <w:szCs w:val="22"/>
        </w:rPr>
        <w:t>2005.</w:t>
      </w:r>
    </w:p>
    <w:p w:rsidR="0030362F" w:rsidRPr="000C6C9B" w:rsidRDefault="0030362F" w:rsidP="000C6C9B">
      <w:pPr>
        <w:pStyle w:val="FootnoteText"/>
        <w:ind w:left="284" w:hanging="284"/>
        <w:jc w:val="both"/>
        <w:rPr>
          <w:rFonts w:ascii="Book Antiqua" w:hAnsi="Book Antiqua"/>
          <w:sz w:val="22"/>
          <w:szCs w:val="22"/>
        </w:rPr>
      </w:pPr>
      <w:r w:rsidRPr="000C6C9B">
        <w:rPr>
          <w:rFonts w:ascii="Book Antiqua" w:hAnsi="Book Antiqua"/>
          <w:sz w:val="22"/>
          <w:szCs w:val="22"/>
        </w:rPr>
        <w:t>PROSIDING SEMINAR NASIONAL HUKUM DA</w:t>
      </w:r>
      <w:bookmarkStart w:id="0" w:name="_GoBack"/>
      <w:bookmarkEnd w:id="0"/>
      <w:r w:rsidRPr="000C6C9B">
        <w:rPr>
          <w:rFonts w:ascii="Book Antiqua" w:hAnsi="Book Antiqua"/>
          <w:sz w:val="22"/>
          <w:szCs w:val="22"/>
        </w:rPr>
        <w:t>N ILMU SOSIAL KE - 2 “Merekontruksi Ilmu Hukum dan Ilmu Sosial dalam Membangun Karakter Bangsa” http://eproceeding.undiksha.ac.id/index.php/SENAHIS/index Tahun 201</w:t>
      </w:r>
      <w:r w:rsidR="00223016" w:rsidRPr="000C6C9B">
        <w:rPr>
          <w:rFonts w:ascii="Book Antiqua" w:hAnsi="Book Antiqua"/>
          <w:sz w:val="22"/>
          <w:szCs w:val="22"/>
        </w:rPr>
        <w:t xml:space="preserve">8 | </w:t>
      </w:r>
    </w:p>
    <w:p w:rsidR="0030362F" w:rsidRPr="000C6C9B" w:rsidRDefault="0039071D" w:rsidP="000C6C9B">
      <w:pPr>
        <w:spacing w:after="0" w:line="240" w:lineRule="auto"/>
        <w:ind w:left="284" w:hanging="284"/>
        <w:jc w:val="both"/>
        <w:rPr>
          <w:rFonts w:ascii="Book Antiqua" w:hAnsi="Book Antiqua" w:cs="Times New Roman"/>
          <w:b/>
        </w:rPr>
      </w:pPr>
      <w:r w:rsidRPr="000C6C9B">
        <w:rPr>
          <w:rFonts w:ascii="Book Antiqua" w:hAnsi="Book Antiqua"/>
        </w:rPr>
        <w:t xml:space="preserve">Syaiful Bakhri, </w:t>
      </w:r>
      <w:r w:rsidRPr="000C6C9B">
        <w:rPr>
          <w:rFonts w:ascii="Book Antiqua" w:hAnsi="Book Antiqua"/>
          <w:i/>
        </w:rPr>
        <w:t>Hukum Pidana Perkembangan dan Pertumbuhannya</w:t>
      </w:r>
      <w:r w:rsidRPr="000C6C9B">
        <w:rPr>
          <w:rFonts w:ascii="Book Antiqua" w:hAnsi="Book Antiqua"/>
        </w:rPr>
        <w:t>, Total Media, Yogyakarta, 2013.</w:t>
      </w:r>
    </w:p>
    <w:sectPr w:rsidR="0030362F" w:rsidRPr="000C6C9B" w:rsidSect="000E1B0D">
      <w:type w:val="continuous"/>
      <w:pgSz w:w="11906" w:h="16838"/>
      <w:pgMar w:top="1701"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EFA" w:rsidRDefault="00291EFA" w:rsidP="00C74494">
      <w:pPr>
        <w:spacing w:after="0" w:line="240" w:lineRule="auto"/>
      </w:pPr>
      <w:r>
        <w:separator/>
      </w:r>
    </w:p>
  </w:endnote>
  <w:endnote w:type="continuationSeparator" w:id="0">
    <w:p w:rsidR="00291EFA" w:rsidRDefault="00291EFA" w:rsidP="00C7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EFA" w:rsidRDefault="00291EFA" w:rsidP="00C74494">
      <w:pPr>
        <w:spacing w:after="0" w:line="240" w:lineRule="auto"/>
      </w:pPr>
      <w:r>
        <w:separator/>
      </w:r>
    </w:p>
  </w:footnote>
  <w:footnote w:type="continuationSeparator" w:id="0">
    <w:p w:rsidR="00291EFA" w:rsidRDefault="00291EFA" w:rsidP="00C74494">
      <w:pPr>
        <w:spacing w:after="0" w:line="240" w:lineRule="auto"/>
      </w:pPr>
      <w:r>
        <w:continuationSeparator/>
      </w:r>
    </w:p>
  </w:footnote>
  <w:footnote w:id="1">
    <w:p w:rsidR="00DE7960" w:rsidRPr="00BE18F3" w:rsidRDefault="00DE7960" w:rsidP="00665BAC">
      <w:pPr>
        <w:pStyle w:val="FootnoteText"/>
        <w:jc w:val="both"/>
        <w:rPr>
          <w:rFonts w:ascii="Book Antiqua" w:hAnsi="Book Antiqua" w:cs="Times New Roman"/>
        </w:rPr>
      </w:pPr>
      <w:r w:rsidRPr="00BE18F3">
        <w:rPr>
          <w:rStyle w:val="FootnoteReference"/>
          <w:rFonts w:ascii="Book Antiqua" w:hAnsi="Book Antiqua" w:cs="Times New Roman"/>
        </w:rPr>
        <w:footnoteRef/>
      </w:r>
      <w:r w:rsidRPr="00BE18F3">
        <w:rPr>
          <w:rFonts w:ascii="Book Antiqua" w:hAnsi="Book Antiqua" w:cs="Times New Roman"/>
        </w:rPr>
        <w:t xml:space="preserve"> Munandar Sulaeman dan Siti Homzah (Ed</w:t>
      </w:r>
      <w:r w:rsidRPr="00BE18F3">
        <w:rPr>
          <w:rFonts w:ascii="Book Antiqua" w:hAnsi="Book Antiqua" w:cs="Times New Roman"/>
          <w:i/>
        </w:rPr>
        <w:t>.), Kekerasan Terhadap Perempuan Tinjauan dalam Berbagai Disiplin Ilmu dan Kasus Kekerasan,</w:t>
      </w:r>
      <w:r w:rsidRPr="00BE18F3">
        <w:rPr>
          <w:rFonts w:ascii="Book Antiqua" w:hAnsi="Book Antiqua" w:cs="Times New Roman"/>
        </w:rPr>
        <w:t xml:space="preserve"> Refika Aditama, Bandung, 2010, hlm. 79</w:t>
      </w:r>
    </w:p>
  </w:footnote>
  <w:footnote w:id="2">
    <w:p w:rsidR="00BE4A9C" w:rsidRPr="00BE18F3" w:rsidRDefault="00BE4A9C" w:rsidP="00665BAC">
      <w:pPr>
        <w:pStyle w:val="FootnoteText"/>
        <w:jc w:val="both"/>
        <w:rPr>
          <w:rFonts w:ascii="Book Antiqua" w:hAnsi="Book Antiqua" w:cs="Times New Roman"/>
        </w:rPr>
      </w:pPr>
      <w:r w:rsidRPr="00BE18F3">
        <w:rPr>
          <w:rStyle w:val="FootnoteReference"/>
          <w:rFonts w:ascii="Book Antiqua" w:hAnsi="Book Antiqua" w:cs="Times New Roman"/>
        </w:rPr>
        <w:footnoteRef/>
      </w:r>
      <w:r w:rsidRPr="00BE18F3">
        <w:rPr>
          <w:rFonts w:ascii="Book Antiqua" w:hAnsi="Book Antiqua" w:cs="Times New Roman"/>
        </w:rPr>
        <w:t xml:space="preserve"> </w:t>
      </w:r>
      <w:r w:rsidR="00443568" w:rsidRPr="00BE18F3">
        <w:rPr>
          <w:rFonts w:ascii="Book Antiqua" w:hAnsi="Book Antiqua" w:cs="Times New Roman"/>
        </w:rPr>
        <w:t xml:space="preserve">Deti Mega Purnamasari, </w:t>
      </w:r>
      <w:r w:rsidRPr="00BE18F3">
        <w:rPr>
          <w:rFonts w:ascii="Book Antiqua" w:hAnsi="Book Antiqua" w:cs="Times New Roman"/>
        </w:rPr>
        <w:t>Komnas HAM Nilai Hukuman Kebiri Kimi</w:t>
      </w:r>
      <w:r w:rsidR="00443568" w:rsidRPr="00BE18F3">
        <w:rPr>
          <w:rFonts w:ascii="Book Antiqua" w:hAnsi="Book Antiqua" w:cs="Times New Roman"/>
        </w:rPr>
        <w:t xml:space="preserve">a Penyiksaan Tak Sesuai Prinsip </w:t>
      </w:r>
      <w:r w:rsidRPr="00BE18F3">
        <w:rPr>
          <w:rFonts w:ascii="Book Antiqua" w:hAnsi="Book Antiqua" w:cs="Times New Roman"/>
        </w:rPr>
        <w:t>HAM</w:t>
      </w:r>
      <w:r w:rsidR="00443568" w:rsidRPr="00BE18F3">
        <w:rPr>
          <w:rFonts w:ascii="Book Antiqua" w:hAnsi="Book Antiqua" w:cs="Times New Roman"/>
        </w:rPr>
        <w:t xml:space="preserve">, </w:t>
      </w:r>
      <w:r w:rsidRPr="00BE18F3">
        <w:rPr>
          <w:rFonts w:ascii="Book Antiqua" w:hAnsi="Book Antiqua" w:cs="Times New Roman"/>
        </w:rPr>
        <w:t> </w:t>
      </w:r>
      <w:r w:rsidR="00443568" w:rsidRPr="00BE18F3">
        <w:rPr>
          <w:rFonts w:ascii="Book Antiqua" w:hAnsi="Book Antiqua" w:cs="Times New Roman"/>
        </w:rPr>
        <w:t>https://nasional.kompas.com/read/2021/01/05/10274431/komnas-ham-nilai-hukuman-kebiri-kimia-penyiksaan-tak-sesuai-prinsip-ham</w:t>
      </w:r>
      <w:r w:rsidRPr="00BE18F3">
        <w:rPr>
          <w:rFonts w:ascii="Book Antiqua" w:hAnsi="Book Antiqua" w:cs="Times New Roman"/>
        </w:rPr>
        <w:t>, diakses 30-05-2021</w:t>
      </w:r>
    </w:p>
  </w:footnote>
  <w:footnote w:id="3">
    <w:p w:rsidR="00170BA7" w:rsidRPr="00BE18F3" w:rsidRDefault="00170BA7"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Hukuman Kebiri Bagi Pelaku Kejahatan Seksual Tidak Sejalan dengan Prinsip HAM, https://www.komnasham.go.id/index.php/news/2021/2/11/1671/hukuman-kebiri-bagi-pelaku-kejahatan-seksual-tidak-sejalan-dengan-prinsip-ham.html</w:t>
      </w:r>
    </w:p>
  </w:footnote>
  <w:footnote w:id="4">
    <w:p w:rsidR="00C74494" w:rsidRPr="00BE18F3" w:rsidRDefault="00C74494" w:rsidP="00665BAC">
      <w:pPr>
        <w:pStyle w:val="FootnoteText"/>
        <w:jc w:val="both"/>
        <w:rPr>
          <w:rFonts w:ascii="Book Antiqua" w:hAnsi="Book Antiqua" w:cs="Times New Roman"/>
        </w:rPr>
      </w:pPr>
      <w:r w:rsidRPr="00BE18F3">
        <w:rPr>
          <w:rStyle w:val="FootnoteReference"/>
          <w:rFonts w:ascii="Book Antiqua" w:hAnsi="Book Antiqua" w:cs="Times New Roman"/>
        </w:rPr>
        <w:footnoteRef/>
      </w:r>
      <w:r w:rsidRPr="00BE18F3">
        <w:rPr>
          <w:rFonts w:ascii="Book Antiqua" w:hAnsi="Book Antiqua" w:cs="Times New Roman"/>
        </w:rPr>
        <w:t xml:space="preserve"> M. Solehuddin, </w:t>
      </w:r>
      <w:r w:rsidRPr="00BE18F3">
        <w:rPr>
          <w:rFonts w:ascii="Book Antiqua" w:hAnsi="Book Antiqua" w:cs="Times New Roman"/>
          <w:i/>
        </w:rPr>
        <w:t>Sistem Sanksi Dalam Hukum Pidana Ide dasar Double Track system dan Implementasinya,</w:t>
      </w:r>
      <w:r w:rsidR="00924DD7" w:rsidRPr="00BE18F3">
        <w:rPr>
          <w:rFonts w:ascii="Book Antiqua" w:hAnsi="Book Antiqua" w:cs="Times New Roman"/>
        </w:rPr>
        <w:t xml:space="preserve"> </w:t>
      </w:r>
      <w:r w:rsidRPr="00BE18F3">
        <w:rPr>
          <w:rFonts w:ascii="Book Antiqua" w:hAnsi="Book Antiqua" w:cs="Times New Roman"/>
        </w:rPr>
        <w:t>Raja Grafindo Persada,</w:t>
      </w:r>
      <w:r w:rsidR="00924DD7" w:rsidRPr="00BE18F3">
        <w:rPr>
          <w:rFonts w:ascii="Book Antiqua" w:hAnsi="Book Antiqua" w:cs="Times New Roman"/>
        </w:rPr>
        <w:t xml:space="preserve"> Jakarta, 2003, h</w:t>
      </w:r>
      <w:r w:rsidRPr="00BE18F3">
        <w:rPr>
          <w:rFonts w:ascii="Book Antiqua" w:hAnsi="Book Antiqua" w:cs="Times New Roman"/>
        </w:rPr>
        <w:t>l</w:t>
      </w:r>
      <w:r w:rsidR="00924DD7" w:rsidRPr="00BE18F3">
        <w:rPr>
          <w:rFonts w:ascii="Book Antiqua" w:hAnsi="Book Antiqua" w:cs="Times New Roman"/>
        </w:rPr>
        <w:t>m</w:t>
      </w:r>
      <w:r w:rsidRPr="00BE18F3">
        <w:rPr>
          <w:rFonts w:ascii="Book Antiqua" w:hAnsi="Book Antiqua" w:cs="Times New Roman"/>
        </w:rPr>
        <w:t>.7</w:t>
      </w:r>
    </w:p>
  </w:footnote>
  <w:footnote w:id="5">
    <w:p w:rsidR="00A3266C" w:rsidRPr="00BE18F3" w:rsidRDefault="00A3266C"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Peter Mahmud Marzuki, </w:t>
      </w:r>
      <w:r w:rsidRPr="00BE18F3">
        <w:rPr>
          <w:rFonts w:ascii="Book Antiqua" w:hAnsi="Book Antiqua"/>
          <w:i/>
        </w:rPr>
        <w:t>Penelitian Hukum,</w:t>
      </w:r>
      <w:r w:rsidRPr="00BE18F3">
        <w:rPr>
          <w:rFonts w:ascii="Book Antiqua" w:hAnsi="Book Antiqua"/>
        </w:rPr>
        <w:t xml:space="preserve"> Kencana, Jakarta,  2005,  hlm</w:t>
      </w:r>
      <w:r w:rsidR="00107491" w:rsidRPr="00BE18F3">
        <w:rPr>
          <w:rFonts w:ascii="Book Antiqua" w:hAnsi="Book Antiqua"/>
        </w:rPr>
        <w:t>.13.</w:t>
      </w:r>
    </w:p>
  </w:footnote>
  <w:footnote w:id="6">
    <w:p w:rsidR="00C81E59" w:rsidRPr="00BE18F3" w:rsidRDefault="00C81E59"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Andrey Sujatmoko, </w:t>
      </w:r>
      <w:r w:rsidRPr="00BE18F3">
        <w:rPr>
          <w:rFonts w:ascii="Book Antiqua" w:hAnsi="Book Antiqua"/>
          <w:i/>
        </w:rPr>
        <w:t>Hukum HAM dan Hukum Humaniter</w:t>
      </w:r>
      <w:r w:rsidRPr="00BE18F3">
        <w:rPr>
          <w:rFonts w:ascii="Book Antiqua" w:hAnsi="Book Antiqua"/>
        </w:rPr>
        <w:t>, PT RajaGrafindo Persada, Jakarta, hlm.57</w:t>
      </w:r>
    </w:p>
  </w:footnote>
  <w:footnote w:id="7">
    <w:p w:rsidR="00622B45" w:rsidRPr="00BE18F3" w:rsidRDefault="00622B45" w:rsidP="00665BAC">
      <w:pPr>
        <w:pStyle w:val="FootnoteText"/>
        <w:jc w:val="both"/>
        <w:rPr>
          <w:rFonts w:ascii="Book Antiqua" w:hAnsi="Book Antiqua"/>
        </w:rPr>
      </w:pPr>
      <w:r w:rsidRPr="00BE18F3">
        <w:rPr>
          <w:rStyle w:val="FootnoteReference"/>
          <w:rFonts w:ascii="Book Antiqua" w:hAnsi="Book Antiqua"/>
        </w:rPr>
        <w:footnoteRef/>
      </w:r>
      <w:r w:rsidRPr="00BE18F3">
        <w:rPr>
          <w:rStyle w:val="FootnoteReference"/>
          <w:rFonts w:ascii="Book Antiqua" w:hAnsi="Book Antiqua"/>
        </w:rPr>
        <w:footnoteRef/>
      </w:r>
      <w:r w:rsidRPr="00BE18F3">
        <w:rPr>
          <w:rFonts w:ascii="Book Antiqua" w:hAnsi="Book Antiqua"/>
        </w:rPr>
        <w:t xml:space="preserve"> Muladi, </w:t>
      </w:r>
      <w:r w:rsidRPr="00BE18F3">
        <w:rPr>
          <w:rFonts w:ascii="Book Antiqua" w:hAnsi="Book Antiqua"/>
          <w:i/>
        </w:rPr>
        <w:t>Hak Asasi Manusia, Hakekat, Konsep dan implikasinya dalam perspektif Hukum dan Masyarakat</w:t>
      </w:r>
      <w:r w:rsidRPr="00BE18F3">
        <w:rPr>
          <w:rFonts w:ascii="Book Antiqua" w:hAnsi="Book Antiqua"/>
        </w:rPr>
        <w:t>, PT Refika Aditama, Bandung, hlm.6</w:t>
      </w:r>
    </w:p>
  </w:footnote>
  <w:footnote w:id="8">
    <w:p w:rsidR="00F8474E" w:rsidRPr="00BE18F3" w:rsidRDefault="00F8474E"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Gloria Setyvani Putri, Presiden Jokowi Teken PP Kebiri Kimia, Apa Itu </w:t>
      </w:r>
      <w:r w:rsidRPr="00BE18F3">
        <w:rPr>
          <w:rFonts w:ascii="Book Antiqua" w:hAnsi="Book Antiqua"/>
        </w:rPr>
        <w:t xml:space="preserve">dan Bagaimana Efeknya, </w:t>
      </w:r>
      <w:r w:rsidRPr="004651C6">
        <w:rPr>
          <w:rFonts w:ascii="Book Antiqua" w:hAnsi="Book Antiqua"/>
        </w:rPr>
        <w:t>https://www.kompas.com/sains/read/2021/01/04/070000123/presiden-jokowi-teken-pp-kebiri-kimia-apa-itu-dan-bagaimana-efeknya-?page=all</w:t>
      </w:r>
      <w:r w:rsidRPr="00BE18F3">
        <w:rPr>
          <w:rFonts w:ascii="Book Antiqua" w:hAnsi="Book Antiqua"/>
        </w:rPr>
        <w:t>, diakses 30-05-2021</w:t>
      </w:r>
    </w:p>
  </w:footnote>
  <w:footnote w:id="9">
    <w:p w:rsidR="00857227" w:rsidRPr="00BE18F3" w:rsidRDefault="00857227"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00DE4141" w:rsidRPr="00BE18F3">
        <w:rPr>
          <w:rFonts w:ascii="Book Antiqua" w:hAnsi="Book Antiqua"/>
          <w:bCs/>
        </w:rPr>
        <w:t xml:space="preserve">Edward Omar Sharif Hiariej, </w:t>
      </w:r>
      <w:r w:rsidR="00DE4141" w:rsidRPr="00BE18F3">
        <w:rPr>
          <w:rFonts w:ascii="Book Antiqua" w:hAnsi="Book Antiqua"/>
        </w:rPr>
        <w:t xml:space="preserve">Alasan Hukum yang Membenarkan Pemasangan Chip dan Kebiri Kimia, </w:t>
      </w:r>
      <w:r w:rsidR="004651C6" w:rsidRPr="004651C6">
        <w:rPr>
          <w:rFonts w:ascii="Book Antiqua" w:hAnsi="Book Antiqua"/>
        </w:rPr>
        <w:t>https://new.hukumonline.com/klinik/detail/lt5ee9fda7d210d/alasan-hukum-yang-membenarkan-pemasangan-chip-dan-kebiri-kimia-/</w:t>
      </w:r>
      <w:r w:rsidR="004651C6">
        <w:rPr>
          <w:rFonts w:ascii="Book Antiqua" w:hAnsi="Book Antiqua"/>
        </w:rPr>
        <w:t xml:space="preserve">, </w:t>
      </w:r>
      <w:r w:rsidR="00DE4141" w:rsidRPr="00BE18F3">
        <w:rPr>
          <w:rFonts w:ascii="Book Antiqua" w:hAnsi="Book Antiqua"/>
        </w:rPr>
        <w:t>dikases 31-05-2021</w:t>
      </w:r>
    </w:p>
  </w:footnote>
  <w:footnote w:id="10">
    <w:p w:rsidR="0097464F" w:rsidRPr="00BE18F3" w:rsidRDefault="0097464F"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E. Y. Kanter dan S. R. Sianturi, </w:t>
      </w:r>
      <w:r w:rsidRPr="00BE18F3">
        <w:rPr>
          <w:rFonts w:ascii="Book Antiqua" w:hAnsi="Book Antiqua"/>
          <w:i/>
          <w:iCs/>
        </w:rPr>
        <w:t>Asas-Asas Hukum Pidana di Indonesia dan Penerapannya</w:t>
      </w:r>
      <w:r w:rsidRPr="00BE18F3">
        <w:rPr>
          <w:rFonts w:ascii="Book Antiqua" w:hAnsi="Book Antiqua"/>
        </w:rPr>
        <w:t>, Storia Grafika, Jakarta, 2012,</w:t>
      </w:r>
      <w:r w:rsidRPr="00BE18F3">
        <w:rPr>
          <w:rFonts w:ascii="Book Antiqua" w:hAnsi="Book Antiqua"/>
          <w:i/>
        </w:rPr>
        <w:t xml:space="preserve"> </w:t>
      </w:r>
      <w:r w:rsidRPr="00BE18F3">
        <w:rPr>
          <w:rFonts w:ascii="Book Antiqua" w:hAnsi="Book Antiqua"/>
        </w:rPr>
        <w:t>hlm 71.</w:t>
      </w:r>
    </w:p>
  </w:footnote>
  <w:footnote w:id="11">
    <w:p w:rsidR="001C724A" w:rsidRPr="00BE18F3" w:rsidRDefault="001C724A"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PROSIDING SEMINAR NASIONAL HUKUM DAN ILMU SOSIAL KE - 2 “Merekontruksi Ilmu Hukum dan Ilmu Sosial dalam Membangun Karakter Bangsa” http://eproceeding.undiksha.ac.id/index.php/SENAHIS/index Tahun 2018 | hlm. 06-12</w:t>
      </w:r>
    </w:p>
  </w:footnote>
  <w:footnote w:id="12">
    <w:p w:rsidR="00EC0660" w:rsidRPr="00BE18F3" w:rsidRDefault="00EC0660"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i/>
        </w:rPr>
        <w:t>Ibid.</w:t>
      </w:r>
    </w:p>
  </w:footnote>
  <w:footnote w:id="13">
    <w:p w:rsidR="0097464F" w:rsidRPr="00BE18F3" w:rsidRDefault="0097464F"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Syaiful Bakhri, </w:t>
      </w:r>
      <w:r w:rsidRPr="00BE18F3">
        <w:rPr>
          <w:rFonts w:ascii="Book Antiqua" w:hAnsi="Book Antiqua"/>
          <w:i/>
        </w:rPr>
        <w:t>Hukum Pidana Perkembangan dan Pertumbuhannya</w:t>
      </w:r>
      <w:r w:rsidRPr="00BE18F3">
        <w:rPr>
          <w:rFonts w:ascii="Book Antiqua" w:hAnsi="Book Antiqua"/>
        </w:rPr>
        <w:t>, Total Media, Yogyakarta, 2013, hlm. 167.</w:t>
      </w:r>
    </w:p>
  </w:footnote>
  <w:footnote w:id="14">
    <w:p w:rsidR="006D2397" w:rsidRPr="00BE18F3" w:rsidRDefault="006D2397"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Muladi dan Barda Nawawi Arief, </w:t>
      </w:r>
      <w:r w:rsidRPr="00BE18F3">
        <w:rPr>
          <w:rFonts w:ascii="Book Antiqua" w:hAnsi="Book Antiqua"/>
          <w:i/>
        </w:rPr>
        <w:t>Teori-Teori dan Kebijakan Pidana</w:t>
      </w:r>
      <w:r w:rsidRPr="00BE18F3">
        <w:rPr>
          <w:rFonts w:ascii="Book Antiqua" w:hAnsi="Book Antiqua"/>
        </w:rPr>
        <w:t>, Alumni, Bandung, 2015, hlm. 11.</w:t>
      </w:r>
    </w:p>
  </w:footnote>
  <w:footnote w:id="15">
    <w:p w:rsidR="00C71883" w:rsidRPr="00BE18F3" w:rsidRDefault="00C71883"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Mahrus Ali, </w:t>
      </w:r>
      <w:r w:rsidRPr="00BE18F3">
        <w:rPr>
          <w:rFonts w:ascii="Book Antiqua" w:hAnsi="Book Antiqua"/>
          <w:i/>
        </w:rPr>
        <w:t>Dasar-Dasar Hukum Pidana</w:t>
      </w:r>
      <w:r w:rsidRPr="00BE18F3">
        <w:rPr>
          <w:rFonts w:ascii="Book Antiqua" w:hAnsi="Book Antiqua"/>
        </w:rPr>
        <w:t>, Sinar Grafika, Jakarta, 2012, hlm. 39.</w:t>
      </w:r>
    </w:p>
  </w:footnote>
  <w:footnote w:id="16">
    <w:p w:rsidR="00C71883" w:rsidRPr="00BE18F3" w:rsidRDefault="00C71883"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Muladi dan Barda Nawawi Arief, </w:t>
      </w:r>
      <w:r w:rsidRPr="00BE18F3">
        <w:rPr>
          <w:rFonts w:ascii="Book Antiqua" w:hAnsi="Book Antiqua"/>
          <w:i/>
        </w:rPr>
        <w:t>Op.Cit,</w:t>
      </w:r>
      <w:r w:rsidRPr="00BE18F3">
        <w:rPr>
          <w:rFonts w:ascii="Book Antiqua" w:hAnsi="Book Antiqua"/>
        </w:rPr>
        <w:t xml:space="preserve"> hlm</w:t>
      </w:r>
      <w:r w:rsidRPr="00BE18F3">
        <w:rPr>
          <w:rFonts w:ascii="Book Antiqua" w:hAnsi="Book Antiqua" w:cs="Times New Roman"/>
        </w:rPr>
        <w:t>. 16.</w:t>
      </w:r>
    </w:p>
  </w:footnote>
  <w:footnote w:id="17">
    <w:p w:rsidR="006F43FE" w:rsidRPr="00BE18F3" w:rsidRDefault="006F43FE"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Dwidja Priyatno, </w:t>
      </w:r>
      <w:r w:rsidRPr="00BE18F3">
        <w:rPr>
          <w:rFonts w:ascii="Book Antiqua" w:hAnsi="Book Antiqua"/>
          <w:i/>
        </w:rPr>
        <w:t>Sistem Pelaksanaan Pidana Penjara Di Indonesia</w:t>
      </w:r>
      <w:r w:rsidRPr="00BE18F3">
        <w:rPr>
          <w:rFonts w:ascii="Book Antiqua" w:hAnsi="Book Antiqua"/>
        </w:rPr>
        <w:t>, Refika Aditama, Bandung, 2013, hlm. 26</w:t>
      </w:r>
    </w:p>
  </w:footnote>
  <w:footnote w:id="18">
    <w:p w:rsidR="006C5C64" w:rsidRPr="00BE18F3" w:rsidRDefault="006C5C64"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Mohammad Taufik Makarao, </w:t>
      </w:r>
      <w:r w:rsidRPr="00BE18F3">
        <w:rPr>
          <w:rFonts w:ascii="Book Antiqua" w:hAnsi="Book Antiqua"/>
          <w:i/>
        </w:rPr>
        <w:t xml:space="preserve">Pembaharuan Hukum Pidana, </w:t>
      </w:r>
      <w:r w:rsidRPr="00BE18F3">
        <w:rPr>
          <w:rFonts w:ascii="Book Antiqua" w:hAnsi="Book Antiqua"/>
        </w:rPr>
        <w:t>Kreasi Wacana, Yogyakarta, 2005,.hlm 28</w:t>
      </w:r>
    </w:p>
  </w:footnote>
  <w:footnote w:id="19">
    <w:p w:rsidR="006C5C64" w:rsidRPr="00BE18F3" w:rsidRDefault="006C5C64"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Andi Hamzah, </w:t>
      </w:r>
      <w:r w:rsidRPr="00BE18F3">
        <w:rPr>
          <w:rFonts w:ascii="Book Antiqua" w:hAnsi="Book Antiqua"/>
          <w:i/>
        </w:rPr>
        <w:t>Asas-Asas Hukum Pidana</w:t>
      </w:r>
      <w:r w:rsidRPr="00BE18F3">
        <w:rPr>
          <w:rFonts w:ascii="Book Antiqua" w:hAnsi="Book Antiqua"/>
        </w:rPr>
        <w:t>, Rineka Cipta, Jakarta, 2018, hlm. 48.</w:t>
      </w:r>
    </w:p>
  </w:footnote>
  <w:footnote w:id="20">
    <w:p w:rsidR="006C5C64" w:rsidRPr="00BE18F3" w:rsidRDefault="006C5C64" w:rsidP="00665BAC">
      <w:pPr>
        <w:pStyle w:val="FootnoteText"/>
        <w:jc w:val="both"/>
        <w:rPr>
          <w:rFonts w:ascii="Book Antiqua" w:hAnsi="Book Antiqua"/>
        </w:rPr>
      </w:pPr>
      <w:r w:rsidRPr="00BE18F3">
        <w:rPr>
          <w:rStyle w:val="FootnoteReference"/>
          <w:rFonts w:ascii="Book Antiqua" w:hAnsi="Book Antiqua"/>
        </w:rPr>
        <w:footnoteRef/>
      </w:r>
      <w:r w:rsidRPr="00BE18F3">
        <w:rPr>
          <w:rFonts w:ascii="Book Antiqua" w:hAnsi="Book Antiqua"/>
        </w:rPr>
        <w:t xml:space="preserve"> </w:t>
      </w:r>
      <w:r w:rsidRPr="00BE18F3">
        <w:rPr>
          <w:rFonts w:ascii="Book Antiqua" w:hAnsi="Book Antiqua"/>
        </w:rPr>
        <w:t xml:space="preserve">Mulyanti Pewennei dan Rahmanuddin Tomalili, </w:t>
      </w:r>
      <w:r w:rsidRPr="00BE18F3">
        <w:rPr>
          <w:rFonts w:ascii="Book Antiqua" w:hAnsi="Book Antiqua"/>
          <w:i/>
        </w:rPr>
        <w:t>Hukum Pidana</w:t>
      </w:r>
      <w:r w:rsidRPr="00BE18F3">
        <w:rPr>
          <w:rFonts w:ascii="Book Antiqua" w:hAnsi="Book Antiqua"/>
        </w:rPr>
        <w:t>, Mitra Wacana Kencana, Jakarta, 2015, hlm.45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C9D"/>
    <w:multiLevelType w:val="hybridMultilevel"/>
    <w:tmpl w:val="F53CA80E"/>
    <w:lvl w:ilvl="0" w:tplc="6B169E1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14DF5281"/>
    <w:multiLevelType w:val="multilevel"/>
    <w:tmpl w:val="E7740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A228AF"/>
    <w:multiLevelType w:val="hybridMultilevel"/>
    <w:tmpl w:val="534841FA"/>
    <w:lvl w:ilvl="0" w:tplc="8B2A468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46E74627"/>
    <w:multiLevelType w:val="hybridMultilevel"/>
    <w:tmpl w:val="5D4A728E"/>
    <w:lvl w:ilvl="0" w:tplc="D1DCA50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
    <w:nsid w:val="47042E72"/>
    <w:multiLevelType w:val="hybridMultilevel"/>
    <w:tmpl w:val="F87C2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E7A68C2"/>
    <w:multiLevelType w:val="hybridMultilevel"/>
    <w:tmpl w:val="EB72FF1E"/>
    <w:lvl w:ilvl="0" w:tplc="0421000F">
      <w:start w:val="1"/>
      <w:numFmt w:val="decimal"/>
      <w:lvlText w:val="%1."/>
      <w:lvlJc w:val="left"/>
      <w:pPr>
        <w:ind w:left="163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856E2B"/>
    <w:multiLevelType w:val="hybridMultilevel"/>
    <w:tmpl w:val="F9666EC8"/>
    <w:lvl w:ilvl="0" w:tplc="93628FD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659C4F9D"/>
    <w:multiLevelType w:val="hybridMultilevel"/>
    <w:tmpl w:val="F87C2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8216F5"/>
    <w:multiLevelType w:val="hybridMultilevel"/>
    <w:tmpl w:val="A5FC59A8"/>
    <w:lvl w:ilvl="0" w:tplc="60CAA98A">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6E242946"/>
    <w:multiLevelType w:val="hybridMultilevel"/>
    <w:tmpl w:val="DB82C2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8"/>
  </w:num>
  <w:num w:numId="5">
    <w:abstractNumId w:val="6"/>
  </w:num>
  <w:num w:numId="6">
    <w:abstractNumId w:val="0"/>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C7F"/>
    <w:rsid w:val="000065CC"/>
    <w:rsid w:val="000273A9"/>
    <w:rsid w:val="00033199"/>
    <w:rsid w:val="00040E44"/>
    <w:rsid w:val="0006331F"/>
    <w:rsid w:val="000C6C9B"/>
    <w:rsid w:val="000D60F1"/>
    <w:rsid w:val="000E1B0D"/>
    <w:rsid w:val="001017C7"/>
    <w:rsid w:val="00107491"/>
    <w:rsid w:val="0016540E"/>
    <w:rsid w:val="00170BA7"/>
    <w:rsid w:val="001C724A"/>
    <w:rsid w:val="001D01DA"/>
    <w:rsid w:val="00213832"/>
    <w:rsid w:val="00223016"/>
    <w:rsid w:val="0025545F"/>
    <w:rsid w:val="002656B0"/>
    <w:rsid w:val="00280857"/>
    <w:rsid w:val="00291EFA"/>
    <w:rsid w:val="00293942"/>
    <w:rsid w:val="002D2CAA"/>
    <w:rsid w:val="0030362F"/>
    <w:rsid w:val="00310D29"/>
    <w:rsid w:val="0039071D"/>
    <w:rsid w:val="003A3CEA"/>
    <w:rsid w:val="004112AA"/>
    <w:rsid w:val="00440F1A"/>
    <w:rsid w:val="00443568"/>
    <w:rsid w:val="004651C6"/>
    <w:rsid w:val="00470C14"/>
    <w:rsid w:val="004A6FB9"/>
    <w:rsid w:val="00542213"/>
    <w:rsid w:val="005A2D7F"/>
    <w:rsid w:val="005C2F8D"/>
    <w:rsid w:val="005D5010"/>
    <w:rsid w:val="00622B45"/>
    <w:rsid w:val="00634A58"/>
    <w:rsid w:val="00665BAC"/>
    <w:rsid w:val="006C5C64"/>
    <w:rsid w:val="006D2397"/>
    <w:rsid w:val="006E6729"/>
    <w:rsid w:val="006F43FE"/>
    <w:rsid w:val="007F0C96"/>
    <w:rsid w:val="007F0DD2"/>
    <w:rsid w:val="00803173"/>
    <w:rsid w:val="00832A76"/>
    <w:rsid w:val="008503FE"/>
    <w:rsid w:val="00850586"/>
    <w:rsid w:val="00857227"/>
    <w:rsid w:val="008A7C7F"/>
    <w:rsid w:val="009237DC"/>
    <w:rsid w:val="00924DD7"/>
    <w:rsid w:val="0097464F"/>
    <w:rsid w:val="009D7840"/>
    <w:rsid w:val="00A05B21"/>
    <w:rsid w:val="00A3266C"/>
    <w:rsid w:val="00A6085A"/>
    <w:rsid w:val="00A63C06"/>
    <w:rsid w:val="00A949C7"/>
    <w:rsid w:val="00AE2F51"/>
    <w:rsid w:val="00B74750"/>
    <w:rsid w:val="00BB7D35"/>
    <w:rsid w:val="00BC7DFC"/>
    <w:rsid w:val="00BE18F3"/>
    <w:rsid w:val="00BE4A9C"/>
    <w:rsid w:val="00C60748"/>
    <w:rsid w:val="00C61F81"/>
    <w:rsid w:val="00C71883"/>
    <w:rsid w:val="00C74494"/>
    <w:rsid w:val="00C74766"/>
    <w:rsid w:val="00C81E59"/>
    <w:rsid w:val="00C93166"/>
    <w:rsid w:val="00CF4CE8"/>
    <w:rsid w:val="00CF5B8C"/>
    <w:rsid w:val="00DE4141"/>
    <w:rsid w:val="00DE7960"/>
    <w:rsid w:val="00DF3157"/>
    <w:rsid w:val="00E00048"/>
    <w:rsid w:val="00E660BC"/>
    <w:rsid w:val="00E7362E"/>
    <w:rsid w:val="00EB1EE4"/>
    <w:rsid w:val="00EB2B7F"/>
    <w:rsid w:val="00EC0660"/>
    <w:rsid w:val="00EE5593"/>
    <w:rsid w:val="00EE5C61"/>
    <w:rsid w:val="00F82582"/>
    <w:rsid w:val="00F8474E"/>
    <w:rsid w:val="00FB7D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70B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C7F"/>
    <w:rPr>
      <w:color w:val="0000FF" w:themeColor="hyperlink"/>
      <w:u w:val="single"/>
    </w:rPr>
  </w:style>
  <w:style w:type="paragraph" w:styleId="FootnoteText">
    <w:name w:val="footnote text"/>
    <w:basedOn w:val="Normal"/>
    <w:link w:val="FootnoteTextChar"/>
    <w:uiPriority w:val="99"/>
    <w:unhideWhenUsed/>
    <w:rsid w:val="00C74494"/>
    <w:pPr>
      <w:spacing w:after="0" w:line="240" w:lineRule="auto"/>
    </w:pPr>
    <w:rPr>
      <w:sz w:val="20"/>
      <w:szCs w:val="20"/>
    </w:rPr>
  </w:style>
  <w:style w:type="character" w:customStyle="1" w:styleId="FootnoteTextChar">
    <w:name w:val="Footnote Text Char"/>
    <w:basedOn w:val="DefaultParagraphFont"/>
    <w:link w:val="FootnoteText"/>
    <w:uiPriority w:val="99"/>
    <w:rsid w:val="00C74494"/>
    <w:rPr>
      <w:sz w:val="20"/>
      <w:szCs w:val="20"/>
    </w:rPr>
  </w:style>
  <w:style w:type="character" w:styleId="FootnoteReference">
    <w:name w:val="footnote reference"/>
    <w:basedOn w:val="DefaultParagraphFont"/>
    <w:uiPriority w:val="99"/>
    <w:unhideWhenUsed/>
    <w:rsid w:val="00C74494"/>
    <w:rPr>
      <w:vertAlign w:val="superscript"/>
    </w:rPr>
  </w:style>
  <w:style w:type="character" w:customStyle="1" w:styleId="Heading2Char">
    <w:name w:val="Heading 2 Char"/>
    <w:basedOn w:val="DefaultParagraphFont"/>
    <w:link w:val="Heading2"/>
    <w:uiPriority w:val="9"/>
    <w:semiHidden/>
    <w:rsid w:val="00170BA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1EE4"/>
    <w:pPr>
      <w:ind w:left="720"/>
      <w:contextualSpacing/>
    </w:pPr>
  </w:style>
  <w:style w:type="paragraph" w:styleId="HTMLPreformatted">
    <w:name w:val="HTML Preformatted"/>
    <w:basedOn w:val="Normal"/>
    <w:link w:val="HTMLPreformattedChar"/>
    <w:uiPriority w:val="99"/>
    <w:semiHidden/>
    <w:unhideWhenUsed/>
    <w:rsid w:val="001654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540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70B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C7F"/>
    <w:rPr>
      <w:color w:val="0000FF" w:themeColor="hyperlink"/>
      <w:u w:val="single"/>
    </w:rPr>
  </w:style>
  <w:style w:type="paragraph" w:styleId="FootnoteText">
    <w:name w:val="footnote text"/>
    <w:basedOn w:val="Normal"/>
    <w:link w:val="FootnoteTextChar"/>
    <w:uiPriority w:val="99"/>
    <w:unhideWhenUsed/>
    <w:rsid w:val="00C74494"/>
    <w:pPr>
      <w:spacing w:after="0" w:line="240" w:lineRule="auto"/>
    </w:pPr>
    <w:rPr>
      <w:sz w:val="20"/>
      <w:szCs w:val="20"/>
    </w:rPr>
  </w:style>
  <w:style w:type="character" w:customStyle="1" w:styleId="FootnoteTextChar">
    <w:name w:val="Footnote Text Char"/>
    <w:basedOn w:val="DefaultParagraphFont"/>
    <w:link w:val="FootnoteText"/>
    <w:uiPriority w:val="99"/>
    <w:rsid w:val="00C74494"/>
    <w:rPr>
      <w:sz w:val="20"/>
      <w:szCs w:val="20"/>
    </w:rPr>
  </w:style>
  <w:style w:type="character" w:styleId="FootnoteReference">
    <w:name w:val="footnote reference"/>
    <w:basedOn w:val="DefaultParagraphFont"/>
    <w:uiPriority w:val="99"/>
    <w:unhideWhenUsed/>
    <w:rsid w:val="00C74494"/>
    <w:rPr>
      <w:vertAlign w:val="superscript"/>
    </w:rPr>
  </w:style>
  <w:style w:type="character" w:customStyle="1" w:styleId="Heading2Char">
    <w:name w:val="Heading 2 Char"/>
    <w:basedOn w:val="DefaultParagraphFont"/>
    <w:link w:val="Heading2"/>
    <w:uiPriority w:val="9"/>
    <w:semiHidden/>
    <w:rsid w:val="00170BA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1EE4"/>
    <w:pPr>
      <w:ind w:left="720"/>
      <w:contextualSpacing/>
    </w:pPr>
  </w:style>
  <w:style w:type="paragraph" w:styleId="HTMLPreformatted">
    <w:name w:val="HTML Preformatted"/>
    <w:basedOn w:val="Normal"/>
    <w:link w:val="HTMLPreformattedChar"/>
    <w:uiPriority w:val="99"/>
    <w:semiHidden/>
    <w:unhideWhenUsed/>
    <w:rsid w:val="001654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54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6">
      <w:bodyDiv w:val="1"/>
      <w:marLeft w:val="0"/>
      <w:marRight w:val="0"/>
      <w:marTop w:val="0"/>
      <w:marBottom w:val="0"/>
      <w:divBdr>
        <w:top w:val="none" w:sz="0" w:space="0" w:color="auto"/>
        <w:left w:val="none" w:sz="0" w:space="0" w:color="auto"/>
        <w:bottom w:val="none" w:sz="0" w:space="0" w:color="auto"/>
        <w:right w:val="none" w:sz="0" w:space="0" w:color="auto"/>
      </w:divBdr>
    </w:div>
    <w:div w:id="373971206">
      <w:bodyDiv w:val="1"/>
      <w:marLeft w:val="0"/>
      <w:marRight w:val="0"/>
      <w:marTop w:val="0"/>
      <w:marBottom w:val="0"/>
      <w:divBdr>
        <w:top w:val="none" w:sz="0" w:space="0" w:color="auto"/>
        <w:left w:val="none" w:sz="0" w:space="0" w:color="auto"/>
        <w:bottom w:val="none" w:sz="0" w:space="0" w:color="auto"/>
        <w:right w:val="none" w:sz="0" w:space="0" w:color="auto"/>
      </w:divBdr>
    </w:div>
    <w:div w:id="1303654076">
      <w:bodyDiv w:val="1"/>
      <w:marLeft w:val="0"/>
      <w:marRight w:val="0"/>
      <w:marTop w:val="0"/>
      <w:marBottom w:val="0"/>
      <w:divBdr>
        <w:top w:val="none" w:sz="0" w:space="0" w:color="auto"/>
        <w:left w:val="none" w:sz="0" w:space="0" w:color="auto"/>
        <w:bottom w:val="none" w:sz="0" w:space="0" w:color="auto"/>
        <w:right w:val="none" w:sz="0" w:space="0" w:color="auto"/>
      </w:divBdr>
    </w:div>
    <w:div w:id="1594582925">
      <w:bodyDiv w:val="1"/>
      <w:marLeft w:val="0"/>
      <w:marRight w:val="0"/>
      <w:marTop w:val="0"/>
      <w:marBottom w:val="0"/>
      <w:divBdr>
        <w:top w:val="none" w:sz="0" w:space="0" w:color="auto"/>
        <w:left w:val="none" w:sz="0" w:space="0" w:color="auto"/>
        <w:bottom w:val="none" w:sz="0" w:space="0" w:color="auto"/>
        <w:right w:val="none" w:sz="0" w:space="0" w:color="auto"/>
      </w:divBdr>
      <w:divsChild>
        <w:div w:id="2059622338">
          <w:marLeft w:val="600"/>
          <w:marRight w:val="0"/>
          <w:marTop w:val="0"/>
          <w:marBottom w:val="0"/>
          <w:divBdr>
            <w:top w:val="none" w:sz="0" w:space="0" w:color="auto"/>
            <w:left w:val="none" w:sz="0" w:space="0" w:color="auto"/>
            <w:bottom w:val="none" w:sz="0" w:space="0" w:color="auto"/>
            <w:right w:val="none" w:sz="0" w:space="0" w:color="auto"/>
          </w:divBdr>
        </w:div>
        <w:div w:id="1639413334">
          <w:marLeft w:val="600"/>
          <w:marRight w:val="0"/>
          <w:marTop w:val="0"/>
          <w:marBottom w:val="0"/>
          <w:divBdr>
            <w:top w:val="none" w:sz="0" w:space="0" w:color="auto"/>
            <w:left w:val="none" w:sz="0" w:space="0" w:color="auto"/>
            <w:bottom w:val="none" w:sz="0" w:space="0" w:color="auto"/>
            <w:right w:val="none" w:sz="0" w:space="0" w:color="auto"/>
          </w:divBdr>
        </w:div>
        <w:div w:id="1647665420">
          <w:marLeft w:val="0"/>
          <w:marRight w:val="0"/>
          <w:marTop w:val="0"/>
          <w:marBottom w:val="0"/>
          <w:divBdr>
            <w:top w:val="none" w:sz="0" w:space="0" w:color="auto"/>
            <w:left w:val="none" w:sz="0" w:space="0" w:color="auto"/>
            <w:bottom w:val="none" w:sz="0" w:space="0" w:color="auto"/>
            <w:right w:val="none" w:sz="0" w:space="0" w:color="auto"/>
          </w:divBdr>
        </w:div>
        <w:div w:id="973372205">
          <w:marLeft w:val="600"/>
          <w:marRight w:val="0"/>
          <w:marTop w:val="0"/>
          <w:marBottom w:val="0"/>
          <w:divBdr>
            <w:top w:val="none" w:sz="0" w:space="0" w:color="auto"/>
            <w:left w:val="none" w:sz="0" w:space="0" w:color="auto"/>
            <w:bottom w:val="none" w:sz="0" w:space="0" w:color="auto"/>
            <w:right w:val="none" w:sz="0" w:space="0" w:color="auto"/>
          </w:divBdr>
        </w:div>
        <w:div w:id="551431524">
          <w:marLeft w:val="600"/>
          <w:marRight w:val="0"/>
          <w:marTop w:val="0"/>
          <w:marBottom w:val="0"/>
          <w:divBdr>
            <w:top w:val="none" w:sz="0" w:space="0" w:color="auto"/>
            <w:left w:val="none" w:sz="0" w:space="0" w:color="auto"/>
            <w:bottom w:val="none" w:sz="0" w:space="0" w:color="auto"/>
            <w:right w:val="none" w:sz="0" w:space="0" w:color="auto"/>
          </w:divBdr>
        </w:div>
      </w:divsChild>
    </w:div>
    <w:div w:id="17348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C826-E794-4DFD-8687-576DDF99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5808</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2</cp:revision>
  <dcterms:created xsi:type="dcterms:W3CDTF">2021-05-31T06:49:00Z</dcterms:created>
  <dcterms:modified xsi:type="dcterms:W3CDTF">2021-05-31T06:49:00Z</dcterms:modified>
</cp:coreProperties>
</file>